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824E1" w14:textId="1C55D0FB"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Pr="00614DD8">
        <w:rPr>
          <w:rFonts w:ascii="Arial" w:eastAsia="SimSun" w:hAnsi="Arial" w:cs="Times New Roman"/>
          <w:b/>
          <w:bCs/>
          <w:sz w:val="24"/>
          <w:szCs w:val="20"/>
          <w:lang w:val="en-US"/>
        </w:rPr>
        <w:tab/>
      </w:r>
      <w:r w:rsidR="00D91B69" w:rsidRPr="00D91B69">
        <w:rPr>
          <w:rFonts w:ascii="Arial" w:eastAsia="SimSun" w:hAnsi="Arial" w:cs="Times New Roman"/>
          <w:b/>
          <w:bCs/>
          <w:sz w:val="24"/>
          <w:szCs w:val="20"/>
          <w:lang w:val="en-US" w:eastAsia="zh-CN"/>
        </w:rPr>
        <w:t>R4-2411950</w:t>
      </w:r>
    </w:p>
    <w:p w14:paraId="3CBBCC8A" w14:textId="77777777"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092D13D8" w:rsidR="00841BCD" w:rsidRPr="0061508D"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97EF7" w:rsidRPr="00997EF7">
        <w:rPr>
          <w:rFonts w:ascii="Arial" w:eastAsia="Calibri" w:hAnsi="Arial" w:cs="Arial"/>
          <w:b/>
          <w:bCs/>
          <w:sz w:val="24"/>
          <w:lang w:val="en-US"/>
        </w:rPr>
        <w:t>Discussion on NR NTN</w:t>
      </w:r>
      <w:r w:rsidR="0061508D">
        <w:rPr>
          <w:rFonts w:ascii="Arial" w:hAnsi="Arial" w:cs="Arial" w:hint="eastAsia"/>
          <w:b/>
          <w:bCs/>
          <w:sz w:val="24"/>
          <w:lang w:val="en-US" w:eastAsia="ja-JP"/>
        </w:rPr>
        <w:t xml:space="preserve"> system parameters for Ku band</w:t>
      </w:r>
    </w:p>
    <w:p w14:paraId="0BA6D0AF" w14:textId="351A7512" w:rsidR="00841BCD" w:rsidRPr="00614DD8" w:rsidRDefault="00841BCD" w:rsidP="00841BCD">
      <w:pPr>
        <w:tabs>
          <w:tab w:val="left" w:pos="1985"/>
        </w:tabs>
        <w:spacing w:after="120" w:line="240" w:lineRule="auto"/>
        <w:rPr>
          <w:rFonts w:ascii="Arial" w:hAnsi="Arial" w:cs="Arial"/>
          <w:b/>
          <w:bCs/>
          <w:sz w:val="24"/>
          <w:szCs w:val="20"/>
          <w:lang w:val="en-US" w:eastAsia="ja-JP"/>
        </w:rPr>
      </w:pPr>
      <w:r w:rsidRPr="00614DD8">
        <w:rPr>
          <w:rFonts w:ascii="Arial" w:hAnsi="Arial" w:cs="Arial"/>
          <w:b/>
          <w:bCs/>
          <w:sz w:val="24"/>
          <w:szCs w:val="20"/>
          <w:lang w:val="en-US"/>
        </w:rPr>
        <w:t>Agenda item:</w:t>
      </w:r>
      <w:r w:rsidRPr="00614DD8">
        <w:rPr>
          <w:rFonts w:ascii="Arial" w:hAnsi="Arial" w:cs="Arial"/>
          <w:b/>
          <w:bCs/>
          <w:sz w:val="24"/>
          <w:szCs w:val="20"/>
          <w:lang w:val="en-US"/>
        </w:rPr>
        <w:tab/>
      </w:r>
      <w:r w:rsidR="0061508D">
        <w:rPr>
          <w:rFonts w:ascii="Arial" w:hAnsi="Arial" w:cs="Arial" w:hint="eastAsia"/>
          <w:b/>
          <w:bCs/>
          <w:sz w:val="24"/>
          <w:szCs w:val="20"/>
          <w:lang w:val="en-US" w:eastAsia="ja-JP"/>
        </w:rPr>
        <w:t>8.9.3</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8A26399" w14:textId="15540E2F" w:rsidR="00D9052A" w:rsidRPr="00614DD8" w:rsidRDefault="00D9052A" w:rsidP="00D9052A">
      <w:pPr>
        <w:rPr>
          <w:lang w:val="en-US"/>
        </w:rPr>
      </w:pPr>
      <w:r>
        <w:rPr>
          <w:lang w:val="en-US"/>
        </w:rPr>
        <w:t>In this paper, we provide our views on the s</w:t>
      </w:r>
      <w:r w:rsidRPr="00E721CF">
        <w:rPr>
          <w:lang w:val="en-US"/>
        </w:rPr>
        <w:t>uppor</w:t>
      </w:r>
      <w:r>
        <w:rPr>
          <w:lang w:val="en-US"/>
        </w:rPr>
        <w:t>t</w:t>
      </w:r>
      <w:r w:rsidRPr="00E721CF">
        <w:rPr>
          <w:rFonts w:eastAsia="Malgun Gothic"/>
          <w:lang w:val="en-US" w:eastAsia="ko-KR"/>
        </w:rPr>
        <w:t xml:space="preserve"> </w:t>
      </w:r>
      <w:r w:rsidRPr="009431DD">
        <w:rPr>
          <w:rFonts w:eastAsia="Malgun Gothic"/>
          <w:lang w:val="en-US" w:eastAsia="ko-KR"/>
        </w:rPr>
        <w:t xml:space="preserve">of </w:t>
      </w:r>
      <w:r w:rsidR="00997EF7">
        <w:rPr>
          <w:rFonts w:eastAsia="Malgun Gothic"/>
          <w:lang w:val="en-US" w:eastAsia="ko-KR"/>
        </w:rPr>
        <w:t xml:space="preserve">Ku band for </w:t>
      </w:r>
      <w:r w:rsidRPr="009431DD">
        <w:rPr>
          <w:rFonts w:eastAsia="Malgun Gothic"/>
          <w:lang w:val="en-US" w:eastAsia="ko-KR"/>
        </w:rPr>
        <w:t>NR NTN</w:t>
      </w:r>
      <w:r>
        <w:rPr>
          <w:rFonts w:eastAsia="Malgun Gothic"/>
          <w:lang w:val="en-US" w:eastAsia="ko-KR"/>
        </w:rPr>
        <w:t xml:space="preserve">. </w:t>
      </w:r>
      <w:r w:rsidR="00BD3615">
        <w:rPr>
          <w:rFonts w:eastAsia="Malgun Gothic"/>
          <w:lang w:val="en-US" w:eastAsia="ko-KR"/>
        </w:rPr>
        <w:t xml:space="preserve">Core parts of the </w:t>
      </w:r>
      <w:r>
        <w:rPr>
          <w:rFonts w:eastAsia="Malgun Gothic"/>
          <w:lang w:val="en-US" w:eastAsia="ko-KR"/>
        </w:rPr>
        <w:t>ob</w:t>
      </w:r>
      <w:r>
        <w:rPr>
          <w:lang w:val="en-US"/>
        </w:rPr>
        <w:t>jectives mentioned in the WID are copied below for ease of reading.</w:t>
      </w:r>
    </w:p>
    <w:p w14:paraId="08D3D308" w14:textId="77777777" w:rsidR="00D9052A" w:rsidRPr="00614DD8" w:rsidRDefault="00D9052A" w:rsidP="00D9052A">
      <w:pPr>
        <w:rPr>
          <w:lang w:val="en-US"/>
        </w:rPr>
      </w:pPr>
      <w:r>
        <w:rPr>
          <w:lang w:val="en-US"/>
        </w:rPr>
        <w:t>Objectives</w:t>
      </w:r>
      <w:r w:rsidRPr="00614DD8">
        <w:rPr>
          <w:lang w:val="en-US"/>
        </w:rPr>
        <w:t>:</w:t>
      </w:r>
    </w:p>
    <w:tbl>
      <w:tblPr>
        <w:tblStyle w:val="TableGrid"/>
        <w:tblW w:w="0" w:type="auto"/>
        <w:tblLook w:val="04A0" w:firstRow="1" w:lastRow="0" w:firstColumn="1" w:lastColumn="0" w:noHBand="0" w:noVBand="1"/>
      </w:tblPr>
      <w:tblGrid>
        <w:gridCol w:w="9617"/>
      </w:tblGrid>
      <w:tr w:rsidR="00D9052A" w:rsidRPr="00614DD8" w14:paraId="2D56DA99" w14:textId="77777777">
        <w:tc>
          <w:tcPr>
            <w:tcW w:w="9617" w:type="dxa"/>
          </w:tcPr>
          <w:p w14:paraId="4B4CD0EF" w14:textId="77777777" w:rsidR="00BD3615" w:rsidRPr="00BD3615" w:rsidRDefault="00BD3615" w:rsidP="00BD3615">
            <w:pPr>
              <w:overflowPunct w:val="0"/>
              <w:autoSpaceDE w:val="0"/>
              <w:autoSpaceDN w:val="0"/>
              <w:adjustRightInd w:val="0"/>
              <w:rPr>
                <w:rFonts w:eastAsia="Times New Roman" w:cs="Times New Roman"/>
                <w:bCs/>
                <w:szCs w:val="20"/>
                <w:lang w:eastAsia="en-GB"/>
              </w:rPr>
            </w:pPr>
            <w:bookmarkStart w:id="4" w:name="_Hlk166226955"/>
            <w:r w:rsidRPr="00BD3615">
              <w:rPr>
                <w:rFonts w:eastAsia="Times New Roman" w:cs="Times New Roman"/>
                <w:bCs/>
                <w:szCs w:val="20"/>
                <w:lang w:eastAsia="en-GB"/>
              </w:rPr>
              <w:t>The following assumptions are taken as the baseline for this work:</w:t>
            </w:r>
          </w:p>
          <w:p w14:paraId="5CF8465A" w14:textId="77777777" w:rsidR="00BD3615" w:rsidRPr="00BD3615" w:rsidRDefault="00BD3615" w:rsidP="00BD3615">
            <w:pPr>
              <w:numPr>
                <w:ilvl w:val="0"/>
                <w:numId w:val="32"/>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GSO and NGSO</w:t>
            </w:r>
          </w:p>
          <w:p w14:paraId="3BAFC941" w14:textId="77777777" w:rsidR="00BD3615" w:rsidRPr="00BD3615" w:rsidRDefault="00BD3615" w:rsidP="00BD3615">
            <w:pPr>
              <w:numPr>
                <w:ilvl w:val="0"/>
                <w:numId w:val="32"/>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 xml:space="preserve">NTN capable UE type 1 to 5 (38.101-5 </w:t>
            </w:r>
            <w:r w:rsidRPr="00BD3615">
              <w:rPr>
                <w:rFonts w:eastAsia="Times New Roman" w:cs="Times New Roman"/>
                <w:szCs w:val="20"/>
                <w:lang w:eastAsia="en-GB"/>
              </w:rPr>
              <w:t xml:space="preserve">Table 9.2.1.0-1) </w:t>
            </w:r>
            <w:r w:rsidRPr="00BD3615">
              <w:rPr>
                <w:rFonts w:eastAsia="Times New Roman" w:cs="Times New Roman"/>
                <w:bCs/>
                <w:szCs w:val="20"/>
                <w:lang w:eastAsia="en-GB"/>
              </w:rPr>
              <w:t>for above 10 GHz (no handheld devices)</w:t>
            </w:r>
          </w:p>
          <w:p w14:paraId="61C8A54B" w14:textId="77777777" w:rsidR="00BD3615" w:rsidRPr="00BD3615" w:rsidRDefault="00BD3615" w:rsidP="00BD3615">
            <w:pPr>
              <w:numPr>
                <w:ilvl w:val="0"/>
                <w:numId w:val="32"/>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 xml:space="preserve">FDD Mode </w:t>
            </w:r>
          </w:p>
          <w:p w14:paraId="697A108D" w14:textId="77777777" w:rsidR="00BD3615" w:rsidRPr="00BD3615" w:rsidRDefault="00BD3615" w:rsidP="00BD3615">
            <w:pPr>
              <w:numPr>
                <w:ilvl w:val="0"/>
                <w:numId w:val="32"/>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 xml:space="preserve">GNSS Receiver capability </w:t>
            </w:r>
          </w:p>
          <w:p w14:paraId="0AD9D70E" w14:textId="77777777" w:rsidR="00BD3615" w:rsidRPr="00BD3615" w:rsidRDefault="00BD3615" w:rsidP="00BD3615">
            <w:pPr>
              <w:overflowPunct w:val="0"/>
              <w:autoSpaceDE w:val="0"/>
              <w:autoSpaceDN w:val="0"/>
              <w:adjustRightInd w:val="0"/>
              <w:ind w:left="720"/>
              <w:rPr>
                <w:rFonts w:eastAsia="Times New Roman" w:cs="Times New Roman"/>
                <w:bCs/>
                <w:color w:val="FF0000"/>
                <w:szCs w:val="20"/>
                <w:lang w:eastAsia="en-GB"/>
              </w:rPr>
            </w:pPr>
          </w:p>
          <w:p w14:paraId="621BE1CA" w14:textId="77777777" w:rsidR="00BD3615" w:rsidRPr="00BD3615" w:rsidRDefault="00BD3615" w:rsidP="00BD3615">
            <w:pPr>
              <w:overflowPunct w:val="0"/>
              <w:autoSpaceDE w:val="0"/>
              <w:autoSpaceDN w:val="0"/>
              <w:adjustRightInd w:val="0"/>
              <w:spacing w:after="180"/>
              <w:rPr>
                <w:rFonts w:eastAsia="Times New Roman" w:cs="Times New Roman"/>
                <w:bCs/>
                <w:szCs w:val="20"/>
                <w:lang w:eastAsia="en-GB"/>
              </w:rPr>
            </w:pPr>
            <w:r w:rsidRPr="00BD3615">
              <w:rPr>
                <w:rFonts w:eastAsia="Times New Roman" w:cs="Times New Roman"/>
                <w:iCs/>
                <w:szCs w:val="20"/>
                <w:lang w:eastAsia="en-GB"/>
              </w:rPr>
              <w:t>The objectives are:</w:t>
            </w:r>
          </w:p>
          <w:p w14:paraId="62B1FAF1" w14:textId="77777777" w:rsidR="00BD3615" w:rsidRPr="00BD3615" w:rsidRDefault="00BD3615" w:rsidP="00BD3615">
            <w:pPr>
              <w:numPr>
                <w:ilvl w:val="0"/>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Use the regulation requirements in ITU Regions 1, 2 and 3 to identify relevant adjacent band co-existence scenarios for NTN Ku Band covering the following frequency ranges, considering targeted deployment scenarios:</w:t>
            </w:r>
          </w:p>
          <w:p w14:paraId="60F4D35B" w14:textId="77777777" w:rsidR="00BD3615" w:rsidRPr="00BD3615" w:rsidRDefault="00BD3615" w:rsidP="00BD3615">
            <w:pPr>
              <w:numPr>
                <w:ilvl w:val="1"/>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For ITU regions 1 and 3:</w:t>
            </w:r>
          </w:p>
          <w:p w14:paraId="2B5D21CD" w14:textId="77777777" w:rsidR="00BD3615" w:rsidRPr="00BD3615" w:rsidRDefault="00BD3615" w:rsidP="00BD3615">
            <w:pPr>
              <w:numPr>
                <w:ilvl w:val="2"/>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Downlink 10.70 – 12.75 GHz</w:t>
            </w:r>
          </w:p>
          <w:p w14:paraId="2EE683D9" w14:textId="77777777" w:rsidR="00BD3615" w:rsidRPr="00BD3615" w:rsidRDefault="00BD3615" w:rsidP="00BD3615">
            <w:pPr>
              <w:numPr>
                <w:ilvl w:val="2"/>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Uplink 13.75-14.5 GHz</w:t>
            </w:r>
          </w:p>
          <w:p w14:paraId="5C5CF585" w14:textId="77777777" w:rsidR="00BD3615" w:rsidRPr="00BD3615" w:rsidRDefault="00BD3615" w:rsidP="00BD3615">
            <w:pPr>
              <w:numPr>
                <w:ilvl w:val="1"/>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For ITU regions 2 excluding US:</w:t>
            </w:r>
          </w:p>
          <w:p w14:paraId="7543D969" w14:textId="77777777" w:rsidR="00BD3615" w:rsidRPr="00BD3615" w:rsidRDefault="00BD3615" w:rsidP="00BD3615">
            <w:pPr>
              <w:numPr>
                <w:ilvl w:val="2"/>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Downlink 10.70 – 12.70 GHz</w:t>
            </w:r>
          </w:p>
          <w:p w14:paraId="46F89924" w14:textId="77777777" w:rsidR="00BD3615" w:rsidRPr="00BD3615" w:rsidRDefault="00BD3615" w:rsidP="00BD3615">
            <w:pPr>
              <w:numPr>
                <w:ilvl w:val="2"/>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Uplink 13.75-14.5 GHz</w:t>
            </w:r>
          </w:p>
          <w:p w14:paraId="4A17C7A1" w14:textId="77777777" w:rsidR="00BD3615" w:rsidRPr="00BD3615" w:rsidRDefault="00BD3615" w:rsidP="00BD3615">
            <w:pPr>
              <w:numPr>
                <w:ilvl w:val="1"/>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For ITU regions 1 and 3</w:t>
            </w:r>
          </w:p>
          <w:p w14:paraId="0D524541" w14:textId="77777777" w:rsidR="00BD3615" w:rsidRPr="00BD3615" w:rsidRDefault="00BD3615" w:rsidP="00BD3615">
            <w:pPr>
              <w:numPr>
                <w:ilvl w:val="2"/>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Downlink 10.70 – 12.75 GHz</w:t>
            </w:r>
          </w:p>
          <w:p w14:paraId="28379952" w14:textId="77777777" w:rsidR="00BD3615" w:rsidRPr="00BD3615" w:rsidRDefault="00BD3615" w:rsidP="00BD3615">
            <w:pPr>
              <w:numPr>
                <w:ilvl w:val="2"/>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Uplink 12.75 - 13.25 GHz</w:t>
            </w:r>
          </w:p>
          <w:p w14:paraId="780195EF" w14:textId="77777777" w:rsidR="00BD3615" w:rsidRPr="00BD3615" w:rsidRDefault="00BD3615" w:rsidP="00BD3615">
            <w:pPr>
              <w:numPr>
                <w:ilvl w:val="1"/>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For ITU regions 2 excluding US</w:t>
            </w:r>
          </w:p>
          <w:p w14:paraId="6FE1E609" w14:textId="77777777" w:rsidR="00BD3615" w:rsidRPr="00BD3615" w:rsidRDefault="00BD3615" w:rsidP="00BD3615">
            <w:pPr>
              <w:numPr>
                <w:ilvl w:val="2"/>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Downlink 10.70 – 12.70 GHz</w:t>
            </w:r>
          </w:p>
          <w:p w14:paraId="4842DCFB" w14:textId="77777777" w:rsidR="00BD3615" w:rsidRPr="00BD3615" w:rsidRDefault="00BD3615" w:rsidP="00BD3615">
            <w:pPr>
              <w:numPr>
                <w:ilvl w:val="2"/>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Uplink 12.70 - 13.25 GHz</w:t>
            </w:r>
          </w:p>
          <w:p w14:paraId="482470CF" w14:textId="720D9C3D" w:rsidR="00BD3615" w:rsidRPr="00BD3615" w:rsidRDefault="00BD3615" w:rsidP="00BD3615">
            <w:pPr>
              <w:numPr>
                <w:ilvl w:val="1"/>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Note: Appropriate TX/Rx separation for uplink downlink pairing will be required.</w:t>
            </w:r>
          </w:p>
          <w:p w14:paraId="3908970E" w14:textId="77777777" w:rsidR="00BD3615" w:rsidRPr="00BD3615" w:rsidRDefault="00BD3615" w:rsidP="00BD3615">
            <w:pPr>
              <w:numPr>
                <w:ilvl w:val="0"/>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bCs/>
                <w:szCs w:val="20"/>
                <w:lang w:eastAsia="en-GB"/>
              </w:rPr>
              <w:t xml:space="preserve">Conduct coexistence study. Reuse Ka band coexistence study assumptions as much as possible, with modifications where necessary, e.g. for frequency range and subcarrier spacing. Conduct new co-existence studies based on adjacent </w:t>
            </w:r>
            <w:proofErr w:type="gramStart"/>
            <w:r w:rsidRPr="00BD3615">
              <w:rPr>
                <w:rFonts w:eastAsia="Times New Roman" w:cs="Times New Roman"/>
                <w:bCs/>
                <w:szCs w:val="20"/>
                <w:lang w:eastAsia="en-GB"/>
              </w:rPr>
              <w:t>services .</w:t>
            </w:r>
            <w:proofErr w:type="gramEnd"/>
          </w:p>
          <w:p w14:paraId="1997D678" w14:textId="77777777" w:rsidR="00BD3615" w:rsidRPr="00BD3615" w:rsidRDefault="00BD3615" w:rsidP="00BD3615">
            <w:pPr>
              <w:numPr>
                <w:ilvl w:val="0"/>
                <w:numId w:val="33"/>
              </w:numPr>
              <w:overflowPunct w:val="0"/>
              <w:autoSpaceDE w:val="0"/>
              <w:autoSpaceDN w:val="0"/>
              <w:adjustRightInd w:val="0"/>
              <w:jc w:val="both"/>
              <w:rPr>
                <w:rFonts w:eastAsia="Times New Roman" w:cs="Times New Roman"/>
                <w:bCs/>
                <w:szCs w:val="20"/>
                <w:lang w:eastAsia="en-GB"/>
              </w:rPr>
            </w:pPr>
            <w:r w:rsidRPr="00BD3615">
              <w:rPr>
                <w:rFonts w:eastAsia="Times New Roman" w:cs="Times New Roman"/>
                <w:szCs w:val="20"/>
                <w:lang w:eastAsia="en-GB"/>
              </w:rPr>
              <w:t>Specify RF requirements for satellite access node and NTN VSAT types in 38.101-5 also considering existing regulations on antenna sizes for certain parts of the Ku band.</w:t>
            </w:r>
          </w:p>
          <w:p w14:paraId="710B8006" w14:textId="77777777" w:rsidR="00BD3615" w:rsidRPr="00BD3615" w:rsidRDefault="00BD3615" w:rsidP="00BD3615">
            <w:pPr>
              <w:numPr>
                <w:ilvl w:val="0"/>
                <w:numId w:val="34"/>
              </w:numPr>
              <w:overflowPunct w:val="0"/>
              <w:autoSpaceDE w:val="0"/>
              <w:autoSpaceDN w:val="0"/>
              <w:adjustRightInd w:val="0"/>
              <w:spacing w:after="180" w:line="256" w:lineRule="auto"/>
              <w:contextualSpacing/>
              <w:jc w:val="both"/>
              <w:rPr>
                <w:rFonts w:eastAsia="Times New Roman" w:cs="Times New Roman"/>
                <w:szCs w:val="20"/>
                <w:lang w:val="en-US" w:eastAsia="en-GB"/>
              </w:rPr>
            </w:pPr>
            <w:r w:rsidRPr="00BD3615">
              <w:rPr>
                <w:rFonts w:eastAsia="Times New Roman" w:cs="Times New Roman"/>
                <w:szCs w:val="20"/>
                <w:lang w:val="en-US" w:eastAsia="en-GB"/>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14:paraId="613B5C7D" w14:textId="77777777" w:rsidR="00BD3615" w:rsidRPr="00BD3615" w:rsidRDefault="00BD3615" w:rsidP="00BD3615">
            <w:pPr>
              <w:numPr>
                <w:ilvl w:val="1"/>
                <w:numId w:val="34"/>
              </w:numPr>
              <w:overflowPunct w:val="0"/>
              <w:autoSpaceDE w:val="0"/>
              <w:autoSpaceDN w:val="0"/>
              <w:adjustRightInd w:val="0"/>
              <w:spacing w:line="256" w:lineRule="auto"/>
              <w:contextualSpacing/>
              <w:jc w:val="both"/>
              <w:rPr>
                <w:rFonts w:eastAsia="Times New Roman" w:cs="Times New Roman"/>
                <w:szCs w:val="20"/>
                <w:lang w:val="en-US" w:eastAsia="en-GB"/>
              </w:rPr>
            </w:pPr>
            <w:r w:rsidRPr="00BD3615">
              <w:rPr>
                <w:rFonts w:eastAsia="Times New Roman" w:cs="Times New Roman"/>
                <w:szCs w:val="20"/>
                <w:lang w:val="en-US" w:eastAsia="en-GB"/>
              </w:rPr>
              <w:t>Ku band #1a and #1b as FR1-NTN supporting 20 MHz, 35 MHz, 50 MHz, 70 MHz and 100 MHz channel bandwidths with 30 kHz subcarrier spacing</w:t>
            </w:r>
          </w:p>
          <w:p w14:paraId="3D58206B" w14:textId="77777777" w:rsidR="00BD3615" w:rsidRPr="00BD3615" w:rsidRDefault="00BD3615" w:rsidP="00BD3615">
            <w:pPr>
              <w:numPr>
                <w:ilvl w:val="1"/>
                <w:numId w:val="34"/>
              </w:numPr>
              <w:overflowPunct w:val="0"/>
              <w:autoSpaceDE w:val="0"/>
              <w:autoSpaceDN w:val="0"/>
              <w:adjustRightInd w:val="0"/>
              <w:spacing w:line="256" w:lineRule="auto"/>
              <w:contextualSpacing/>
              <w:jc w:val="both"/>
              <w:rPr>
                <w:rFonts w:eastAsia="Times New Roman" w:cs="Times New Roman"/>
                <w:szCs w:val="20"/>
                <w:lang w:val="en-US" w:eastAsia="en-GB"/>
              </w:rPr>
            </w:pPr>
            <w:r w:rsidRPr="00BD3615">
              <w:rPr>
                <w:rFonts w:eastAsia="Times New Roman" w:cs="Times New Roman"/>
                <w:szCs w:val="20"/>
                <w:lang w:val="en-US" w:eastAsia="en-GB"/>
              </w:rPr>
              <w:t>Ku band #1a and #1b as FR2-NTN supporting 50 MHz, 100 MHz, 200 MHz, 400 MHz (120kHz SCS only) channel bandwidths with 120 kHz subcarrier spacing</w:t>
            </w:r>
          </w:p>
          <w:p w14:paraId="78E0901E" w14:textId="77777777" w:rsidR="00BD3615" w:rsidRPr="00BD3615" w:rsidRDefault="00BD3615" w:rsidP="00BD3615">
            <w:pPr>
              <w:numPr>
                <w:ilvl w:val="0"/>
                <w:numId w:val="34"/>
              </w:numPr>
              <w:overflowPunct w:val="0"/>
              <w:autoSpaceDE w:val="0"/>
              <w:autoSpaceDN w:val="0"/>
              <w:adjustRightInd w:val="0"/>
              <w:spacing w:line="256" w:lineRule="auto"/>
              <w:contextualSpacing/>
              <w:jc w:val="both"/>
              <w:rPr>
                <w:rFonts w:eastAsia="Times New Roman" w:cs="Times New Roman"/>
                <w:szCs w:val="20"/>
                <w:lang w:val="en-US" w:eastAsia="en-GB"/>
              </w:rPr>
            </w:pPr>
            <w:r w:rsidRPr="00BD3615">
              <w:rPr>
                <w:rFonts w:eastAsia="Times New Roman" w:cs="Times New Roman"/>
                <w:szCs w:val="20"/>
                <w:lang w:val="en-US" w:eastAsia="en-GB"/>
              </w:rPr>
              <w:t>RAN4 will select which one of the above approaches for DL and UL will be pursued by RAN #106.</w:t>
            </w:r>
          </w:p>
          <w:p w14:paraId="5A05DAA3" w14:textId="77777777" w:rsidR="00BD3615" w:rsidRPr="00BD3615" w:rsidRDefault="00BD3615" w:rsidP="00BD3615">
            <w:pPr>
              <w:numPr>
                <w:ilvl w:val="0"/>
                <w:numId w:val="34"/>
              </w:numPr>
              <w:overflowPunct w:val="0"/>
              <w:autoSpaceDE w:val="0"/>
              <w:autoSpaceDN w:val="0"/>
              <w:adjustRightInd w:val="0"/>
              <w:spacing w:line="256" w:lineRule="auto"/>
              <w:contextualSpacing/>
              <w:jc w:val="both"/>
              <w:rPr>
                <w:rFonts w:eastAsia="Times New Roman" w:cs="Times New Roman"/>
                <w:szCs w:val="20"/>
                <w:lang w:val="en-US" w:eastAsia="en-GB"/>
              </w:rPr>
            </w:pPr>
            <w:r w:rsidRPr="00BD3615">
              <w:rPr>
                <w:rFonts w:eastAsia="Times New Roman" w:cs="Times New Roman"/>
                <w:szCs w:val="20"/>
                <w:lang w:val="en-US" w:eastAsia="en-GB"/>
              </w:rPr>
              <w:lastRenderedPageBreak/>
              <w:t>Priority 2: for all ITU regions excluding the US in region 2, using the approach in Priority 1, define Ku band #2a and #2b as appropriate for the downlink block and uplink block A to support satellite services in 125 MHz (UL) and 250 MHz (DL) aggregated bandwidths.</w:t>
            </w:r>
          </w:p>
          <w:p w14:paraId="2DA19647" w14:textId="77777777" w:rsidR="00BD3615" w:rsidRPr="00BD3615" w:rsidRDefault="00BD3615" w:rsidP="00BD3615">
            <w:pPr>
              <w:numPr>
                <w:ilvl w:val="0"/>
                <w:numId w:val="34"/>
              </w:numPr>
              <w:overflowPunct w:val="0"/>
              <w:autoSpaceDE w:val="0"/>
              <w:autoSpaceDN w:val="0"/>
              <w:adjustRightInd w:val="0"/>
              <w:spacing w:line="256" w:lineRule="auto"/>
              <w:contextualSpacing/>
              <w:jc w:val="both"/>
              <w:rPr>
                <w:rFonts w:eastAsia="Times New Roman" w:cs="Times New Roman"/>
                <w:szCs w:val="20"/>
                <w:lang w:val="en-US" w:eastAsia="en-GB"/>
              </w:rPr>
            </w:pPr>
            <w:r w:rsidRPr="00BD3615">
              <w:rPr>
                <w:rFonts w:eastAsia="Times New Roman" w:cs="Times New Roman"/>
                <w:szCs w:val="20"/>
                <w:lang w:val="en-US" w:eastAsia="en-GB"/>
              </w:rPr>
              <w:t xml:space="preserve">Specify RRM requirements </w:t>
            </w:r>
          </w:p>
          <w:p w14:paraId="2B0EED53" w14:textId="77777777" w:rsidR="00BD3615" w:rsidRPr="00BD3615" w:rsidRDefault="00BD3615" w:rsidP="00BD3615">
            <w:pPr>
              <w:autoSpaceDN w:val="0"/>
              <w:spacing w:line="256" w:lineRule="auto"/>
              <w:ind w:left="360"/>
              <w:contextualSpacing/>
              <w:jc w:val="both"/>
              <w:rPr>
                <w:rFonts w:eastAsia="Times New Roman" w:cs="Times New Roman"/>
                <w:szCs w:val="20"/>
                <w:lang w:val="en-US" w:eastAsia="en-GB"/>
              </w:rPr>
            </w:pPr>
          </w:p>
          <w:p w14:paraId="76B34039" w14:textId="77777777" w:rsidR="00BD3615" w:rsidRPr="00BD3615" w:rsidRDefault="00BD3615" w:rsidP="00BD3615">
            <w:pPr>
              <w:autoSpaceDN w:val="0"/>
              <w:spacing w:line="256" w:lineRule="auto"/>
              <w:ind w:left="360"/>
              <w:contextualSpacing/>
              <w:jc w:val="both"/>
              <w:rPr>
                <w:rFonts w:eastAsia="Times New Roman" w:cs="Times New Roman"/>
                <w:szCs w:val="20"/>
                <w:lang w:val="en-US" w:eastAsia="en-GB"/>
              </w:rPr>
            </w:pPr>
            <w:r w:rsidRPr="00BD3615">
              <w:rPr>
                <w:rFonts w:eastAsia="Times New Roman" w:cs="Times New Roman"/>
                <w:szCs w:val="20"/>
                <w:lang w:val="en-US" w:eastAsia="en-GB"/>
              </w:rPr>
              <w:t>Note: Support for NTN CA is not in the scope of this WID</w:t>
            </w:r>
          </w:p>
          <w:p w14:paraId="0512626E" w14:textId="79B5B77B" w:rsidR="00D9052A" w:rsidRPr="00270E4D" w:rsidRDefault="00D9052A">
            <w:pPr>
              <w:rPr>
                <w:szCs w:val="20"/>
              </w:rPr>
            </w:pPr>
          </w:p>
        </w:tc>
      </w:tr>
      <w:bookmarkEnd w:id="4"/>
    </w:tbl>
    <w:p w14:paraId="632E5746" w14:textId="77777777" w:rsidR="00D9052A" w:rsidRDefault="00D9052A" w:rsidP="00D9052A">
      <w:pPr>
        <w:rPr>
          <w:lang w:val="en-US"/>
        </w:rPr>
      </w:pPr>
    </w:p>
    <w:p w14:paraId="1835C287" w14:textId="77777777" w:rsidR="003B659E" w:rsidRDefault="003B659E" w:rsidP="00AE56B1">
      <w:pPr>
        <w:pStyle w:val="RAN4H1"/>
        <w:rPr>
          <w:rFonts w:eastAsia="ＭＳ 明朝"/>
          <w:lang w:val="en-US" w:eastAsia="ja-JP"/>
        </w:rPr>
      </w:pPr>
      <w:bookmarkStart w:id="5" w:name="_Toc116995842"/>
      <w:r w:rsidRPr="00614DD8">
        <w:rPr>
          <w:lang w:val="en-US"/>
        </w:rPr>
        <w:t>Discussion</w:t>
      </w:r>
      <w:bookmarkEnd w:id="5"/>
    </w:p>
    <w:p w14:paraId="564A0D83" w14:textId="6E331D5B" w:rsidR="0061508D" w:rsidRPr="009A419B" w:rsidRDefault="0061508D" w:rsidP="009A419B">
      <w:pPr>
        <w:pStyle w:val="RAN4H2"/>
      </w:pPr>
      <w:r w:rsidRPr="009A419B">
        <w:rPr>
          <w:rFonts w:hint="eastAsia"/>
        </w:rPr>
        <w:t>Frequency range</w:t>
      </w:r>
    </w:p>
    <w:p w14:paraId="09FFBB34" w14:textId="77777777" w:rsidR="009B4724" w:rsidRDefault="0061508D" w:rsidP="00931197">
      <w:pPr>
        <w:rPr>
          <w:lang w:val="en-US" w:eastAsia="ja-JP"/>
        </w:rPr>
      </w:pPr>
      <w:r>
        <w:rPr>
          <w:lang w:val="en-US" w:eastAsia="ja-JP"/>
        </w:rPr>
        <w:t>I</w:t>
      </w:r>
      <w:r>
        <w:rPr>
          <w:rFonts w:hint="eastAsia"/>
          <w:lang w:val="en-US" w:eastAsia="ja-JP"/>
        </w:rPr>
        <w:t xml:space="preserve">n TS 38.101-5, FR1-NTN frequency range is defined for 410-7125 MHz and FR2-NTN frequency range is defined for 17300 -30000 </w:t>
      </w:r>
      <w:proofErr w:type="spellStart"/>
      <w:r>
        <w:rPr>
          <w:rFonts w:hint="eastAsia"/>
          <w:lang w:val="en-US" w:eastAsia="ja-JP"/>
        </w:rPr>
        <w:t>MHz.</w:t>
      </w:r>
      <w:proofErr w:type="spellEnd"/>
      <w:r>
        <w:rPr>
          <w:rFonts w:hint="eastAsia"/>
          <w:lang w:val="en-US" w:eastAsia="ja-JP"/>
        </w:rPr>
        <w:t xml:space="preserve"> </w:t>
      </w:r>
      <w:r w:rsidR="00931197">
        <w:rPr>
          <w:lang w:val="en-US" w:eastAsia="ja-JP"/>
        </w:rPr>
        <w:t>Furthermore,</w:t>
      </w:r>
      <w:r>
        <w:rPr>
          <w:rFonts w:hint="eastAsia"/>
          <w:lang w:val="en-US" w:eastAsia="ja-JP"/>
        </w:rPr>
        <w:t xml:space="preserve"> in TS 38.101-</w:t>
      </w:r>
      <w:r w:rsidR="00931197">
        <w:rPr>
          <w:rFonts w:hint="eastAsia"/>
          <w:lang w:val="en-US" w:eastAsia="ja-JP"/>
        </w:rPr>
        <w:t>1/2,</w:t>
      </w:r>
      <w:r>
        <w:rPr>
          <w:rFonts w:hint="eastAsia"/>
          <w:lang w:val="en-US" w:eastAsia="ja-JP"/>
        </w:rPr>
        <w:t xml:space="preserve"> FR1 is defined for 410-7125 MHz, FR2-1 for 24250 </w:t>
      </w:r>
      <w:r>
        <w:rPr>
          <w:lang w:val="en-US" w:eastAsia="ja-JP"/>
        </w:rPr>
        <w:t>–</w:t>
      </w:r>
      <w:r>
        <w:rPr>
          <w:rFonts w:hint="eastAsia"/>
          <w:lang w:val="en-US" w:eastAsia="ja-JP"/>
        </w:rPr>
        <w:t xml:space="preserve"> 52600 MHz and FR2-2 for 52600 </w:t>
      </w:r>
      <w:r>
        <w:rPr>
          <w:lang w:val="en-US" w:eastAsia="ja-JP"/>
        </w:rPr>
        <w:t>–</w:t>
      </w:r>
      <w:r>
        <w:rPr>
          <w:rFonts w:hint="eastAsia"/>
          <w:lang w:val="en-US" w:eastAsia="ja-JP"/>
        </w:rPr>
        <w:t xml:space="preserve"> 71000 </w:t>
      </w:r>
      <w:proofErr w:type="spellStart"/>
      <w:r>
        <w:rPr>
          <w:rFonts w:hint="eastAsia"/>
          <w:lang w:val="en-US" w:eastAsia="ja-JP"/>
        </w:rPr>
        <w:t>MHz</w:t>
      </w:r>
      <w:r w:rsidR="00931197">
        <w:rPr>
          <w:rFonts w:hint="eastAsia"/>
          <w:lang w:val="en-US" w:eastAsia="ja-JP"/>
        </w:rPr>
        <w:t>.</w:t>
      </w:r>
      <w:proofErr w:type="spellEnd"/>
      <w:r w:rsidR="00931197">
        <w:rPr>
          <w:rFonts w:hint="eastAsia"/>
          <w:lang w:val="en-US" w:eastAsia="ja-JP"/>
        </w:rPr>
        <w:t xml:space="preserve"> There is no existing frequency range for Ku band in both the NTN and TN specifications. It is proposed to further discuss whether we define a new </w:t>
      </w:r>
      <w:r w:rsidR="00931197">
        <w:rPr>
          <w:lang w:val="en-US" w:eastAsia="ja-JP"/>
        </w:rPr>
        <w:t>frequency</w:t>
      </w:r>
      <w:r w:rsidR="00931197">
        <w:rPr>
          <w:rFonts w:hint="eastAsia"/>
          <w:lang w:val="en-US" w:eastAsia="ja-JP"/>
        </w:rPr>
        <w:t xml:space="preserve"> range covering Ku band or extend the existing </w:t>
      </w:r>
      <w:r w:rsidR="00931197">
        <w:rPr>
          <w:lang w:val="en-US" w:eastAsia="ja-JP"/>
        </w:rPr>
        <w:t>frequency</w:t>
      </w:r>
      <w:r w:rsidR="00931197">
        <w:rPr>
          <w:rFonts w:hint="eastAsia"/>
          <w:lang w:val="en-US" w:eastAsia="ja-JP"/>
        </w:rPr>
        <w:t xml:space="preserve"> range to cover Ku band</w:t>
      </w:r>
      <w:r w:rsidR="009B4724">
        <w:rPr>
          <w:rFonts w:hint="eastAsia"/>
          <w:lang w:val="en-US" w:eastAsia="ja-JP"/>
        </w:rPr>
        <w:t xml:space="preserve"> either from FR1-NTN or FR2-NTN</w:t>
      </w:r>
      <w:r w:rsidR="00931197">
        <w:rPr>
          <w:rFonts w:hint="eastAsia"/>
          <w:lang w:val="en-US" w:eastAsia="ja-JP"/>
        </w:rPr>
        <w:t xml:space="preserve">. </w:t>
      </w:r>
    </w:p>
    <w:p w14:paraId="41208BED" w14:textId="496132CF" w:rsidR="003002EC" w:rsidRPr="0059689C" w:rsidRDefault="003002EC" w:rsidP="00AD1366">
      <w:pPr>
        <w:pStyle w:val="RAN4observation0"/>
        <w:rPr>
          <w:b/>
          <w:bCs/>
          <w:lang w:val="en-US" w:eastAsia="ja-JP"/>
        </w:rPr>
      </w:pPr>
      <w:bookmarkStart w:id="6" w:name="_Toc174143299"/>
      <w:r w:rsidRPr="0059689C">
        <w:rPr>
          <w:b/>
          <w:bCs/>
          <w:lang w:val="en-US" w:eastAsia="ja-JP"/>
        </w:rPr>
        <w:t xml:space="preserve">The </w:t>
      </w:r>
      <w:r w:rsidR="00AD1366" w:rsidRPr="0059689C">
        <w:rPr>
          <w:b/>
          <w:bCs/>
          <w:lang w:val="en-US" w:eastAsia="ja-JP"/>
        </w:rPr>
        <w:t>Ku Band is not within any of the existing frequency ranges</w:t>
      </w:r>
      <w:r w:rsidR="0059689C" w:rsidRPr="0059689C">
        <w:rPr>
          <w:rFonts w:eastAsia="ＭＳ 明朝" w:hint="eastAsia"/>
          <w:b/>
          <w:bCs/>
          <w:lang w:val="en-US" w:eastAsia="ja-JP"/>
        </w:rPr>
        <w:t>.</w:t>
      </w:r>
      <w:bookmarkEnd w:id="6"/>
    </w:p>
    <w:p w14:paraId="2C90F7AC" w14:textId="7F045CBB" w:rsidR="00931197" w:rsidRDefault="00931197" w:rsidP="00931197">
      <w:pPr>
        <w:rPr>
          <w:lang w:val="en-US" w:eastAsia="ja-JP"/>
        </w:rPr>
      </w:pPr>
      <w:r>
        <w:rPr>
          <w:rFonts w:hint="eastAsia"/>
          <w:lang w:val="en-US" w:eastAsia="ja-JP"/>
        </w:rPr>
        <w:t xml:space="preserve">From UE requirement point of view, if the UE RF architecture is </w:t>
      </w:r>
      <w:proofErr w:type="gramStart"/>
      <w:r>
        <w:rPr>
          <w:rFonts w:hint="eastAsia"/>
          <w:lang w:val="en-US" w:eastAsia="ja-JP"/>
        </w:rPr>
        <w:t>similar to</w:t>
      </w:r>
      <w:proofErr w:type="gramEnd"/>
      <w:r>
        <w:rPr>
          <w:rFonts w:hint="eastAsia"/>
          <w:lang w:val="en-US" w:eastAsia="ja-JP"/>
        </w:rPr>
        <w:t xml:space="preserve"> FR1-NTN and if its </w:t>
      </w:r>
      <w:r>
        <w:rPr>
          <w:lang w:val="en-US" w:eastAsia="ja-JP"/>
        </w:rPr>
        <w:t>requirement</w:t>
      </w:r>
      <w:r>
        <w:rPr>
          <w:rFonts w:hint="eastAsia"/>
          <w:lang w:val="en-US" w:eastAsia="ja-JP"/>
        </w:rPr>
        <w:t xml:space="preserve"> framework (i.e., conducted based) can be reused, we can extend FR1-NTN covering Ku band. Or if the UE RF architecture is </w:t>
      </w:r>
      <w:proofErr w:type="gramStart"/>
      <w:r>
        <w:rPr>
          <w:rFonts w:hint="eastAsia"/>
          <w:lang w:val="en-US" w:eastAsia="ja-JP"/>
        </w:rPr>
        <w:t>similar to</w:t>
      </w:r>
      <w:proofErr w:type="gramEnd"/>
      <w:r>
        <w:rPr>
          <w:rFonts w:hint="eastAsia"/>
          <w:lang w:val="en-US" w:eastAsia="ja-JP"/>
        </w:rPr>
        <w:t xml:space="preserve"> FR2-NTN and if its </w:t>
      </w:r>
      <w:r>
        <w:rPr>
          <w:lang w:val="en-US" w:eastAsia="ja-JP"/>
        </w:rPr>
        <w:t>requirement</w:t>
      </w:r>
      <w:r>
        <w:rPr>
          <w:rFonts w:hint="eastAsia"/>
          <w:lang w:val="en-US" w:eastAsia="ja-JP"/>
        </w:rPr>
        <w:t xml:space="preserve"> framework </w:t>
      </w:r>
      <w:r w:rsidR="00A56CC6">
        <w:rPr>
          <w:rFonts w:hint="eastAsia"/>
          <w:lang w:val="en-US" w:eastAsia="ja-JP"/>
        </w:rPr>
        <w:t xml:space="preserve">(i.e., OTA based) </w:t>
      </w:r>
      <w:r>
        <w:rPr>
          <w:rFonts w:hint="eastAsia"/>
          <w:lang w:val="en-US" w:eastAsia="ja-JP"/>
        </w:rPr>
        <w:t xml:space="preserve">can be reused, we can extend FR2-NTN covering Ku band. If the architecture and requirement framework is unique to Ku band, then a new frequency range should be defined. The </w:t>
      </w:r>
      <w:r>
        <w:rPr>
          <w:lang w:val="en-US" w:eastAsia="ja-JP"/>
        </w:rPr>
        <w:t>frequency</w:t>
      </w:r>
      <w:r>
        <w:rPr>
          <w:rFonts w:hint="eastAsia"/>
          <w:lang w:val="en-US" w:eastAsia="ja-JP"/>
        </w:rPr>
        <w:t xml:space="preserve"> range 7-24 GHz was once studied for TN in TS 38.820, which can be used as a baseline for discussing th</w:t>
      </w:r>
      <w:r w:rsidR="00840AD4">
        <w:rPr>
          <w:rFonts w:hint="eastAsia"/>
          <w:lang w:val="en-US" w:eastAsia="ja-JP"/>
        </w:rPr>
        <w:t>e characteristics of this</w:t>
      </w:r>
      <w:r>
        <w:rPr>
          <w:rFonts w:hint="eastAsia"/>
          <w:lang w:val="en-US" w:eastAsia="ja-JP"/>
        </w:rPr>
        <w:t xml:space="preserve"> frequency range.</w:t>
      </w:r>
    </w:p>
    <w:p w14:paraId="4AA6F5D7" w14:textId="3D8ED170" w:rsidR="0061508D" w:rsidRPr="00931197" w:rsidRDefault="00931197" w:rsidP="00D3239E">
      <w:pPr>
        <w:pStyle w:val="RAN4proposal"/>
        <w:rPr>
          <w:lang w:val="en-US" w:eastAsia="ja-JP"/>
        </w:rPr>
      </w:pPr>
      <w:bookmarkStart w:id="7" w:name="_Hlk174048312"/>
      <w:bookmarkStart w:id="8" w:name="_Toc174143300"/>
      <w:r w:rsidRPr="00931197">
        <w:rPr>
          <w:rFonts w:hint="eastAsia"/>
          <w:lang w:val="en-US" w:eastAsia="ja-JP"/>
        </w:rPr>
        <w:t xml:space="preserve">It is proposed to further discuss whether we define a new </w:t>
      </w:r>
      <w:r w:rsidRPr="00931197">
        <w:rPr>
          <w:lang w:val="en-US" w:eastAsia="ja-JP"/>
        </w:rPr>
        <w:t>frequency</w:t>
      </w:r>
      <w:r w:rsidRPr="00931197">
        <w:rPr>
          <w:rFonts w:hint="eastAsia"/>
          <w:lang w:val="en-US" w:eastAsia="ja-JP"/>
        </w:rPr>
        <w:t xml:space="preserve"> range covering Ku band</w:t>
      </w:r>
      <w:r w:rsidR="00906406">
        <w:rPr>
          <w:lang w:val="en-US" w:eastAsia="ja-JP"/>
        </w:rPr>
        <w:t>(s)</w:t>
      </w:r>
      <w:r w:rsidRPr="00931197">
        <w:rPr>
          <w:rFonts w:hint="eastAsia"/>
          <w:lang w:val="en-US" w:eastAsia="ja-JP"/>
        </w:rPr>
        <w:t xml:space="preserve"> or extend the existing </w:t>
      </w:r>
      <w:r w:rsidRPr="00931197">
        <w:rPr>
          <w:lang w:val="en-US" w:eastAsia="ja-JP"/>
        </w:rPr>
        <w:t>frequency</w:t>
      </w:r>
      <w:r w:rsidRPr="00931197">
        <w:rPr>
          <w:rFonts w:hint="eastAsia"/>
          <w:lang w:val="en-US" w:eastAsia="ja-JP"/>
        </w:rPr>
        <w:t xml:space="preserve"> range </w:t>
      </w:r>
      <w:r>
        <w:rPr>
          <w:rFonts w:hint="eastAsia"/>
          <w:lang w:val="en-US" w:eastAsia="ja-JP"/>
        </w:rPr>
        <w:t>(either FR1</w:t>
      </w:r>
      <w:r w:rsidR="00B54AEC">
        <w:rPr>
          <w:lang w:val="en-US" w:eastAsia="ja-JP"/>
        </w:rPr>
        <w:t>-NTN</w:t>
      </w:r>
      <w:r>
        <w:rPr>
          <w:rFonts w:hint="eastAsia"/>
          <w:lang w:val="en-US" w:eastAsia="ja-JP"/>
        </w:rPr>
        <w:t xml:space="preserve"> or FR2</w:t>
      </w:r>
      <w:r w:rsidR="00B54AEC">
        <w:rPr>
          <w:lang w:val="en-US" w:eastAsia="ja-JP"/>
        </w:rPr>
        <w:t>-NTN</w:t>
      </w:r>
      <w:r>
        <w:rPr>
          <w:rFonts w:hint="eastAsia"/>
          <w:lang w:val="en-US" w:eastAsia="ja-JP"/>
        </w:rPr>
        <w:t xml:space="preserve">) </w:t>
      </w:r>
      <w:r w:rsidRPr="00931197">
        <w:rPr>
          <w:rFonts w:hint="eastAsia"/>
          <w:lang w:val="en-US" w:eastAsia="ja-JP"/>
        </w:rPr>
        <w:t>to cover Ku band</w:t>
      </w:r>
      <w:r w:rsidR="004D5EF2">
        <w:rPr>
          <w:rFonts w:hint="eastAsia"/>
          <w:lang w:val="en-US" w:eastAsia="ja-JP"/>
        </w:rPr>
        <w:t>s</w:t>
      </w:r>
      <w:r w:rsidRPr="00931197">
        <w:rPr>
          <w:rFonts w:hint="eastAsia"/>
          <w:lang w:val="en-US" w:eastAsia="ja-JP"/>
        </w:rPr>
        <w:t>.</w:t>
      </w:r>
      <w:bookmarkEnd w:id="8"/>
    </w:p>
    <w:bookmarkEnd w:id="7"/>
    <w:p w14:paraId="305B03BD" w14:textId="1B4F4228" w:rsidR="00A56CC6" w:rsidRDefault="001A7C64" w:rsidP="001A7C64">
      <w:pPr>
        <w:rPr>
          <w:lang w:val="en-US" w:eastAsia="ja-JP"/>
        </w:rPr>
      </w:pPr>
      <w:r>
        <w:rPr>
          <w:lang w:val="en-US" w:eastAsia="ja-JP"/>
        </w:rPr>
        <w:t xml:space="preserve">Nevertheless, which </w:t>
      </w:r>
      <w:r w:rsidR="006E368B">
        <w:rPr>
          <w:lang w:val="en-US" w:eastAsia="ja-JP"/>
        </w:rPr>
        <w:t xml:space="preserve">option taking in proposal 1 the Ku band as it is </w:t>
      </w:r>
      <w:r w:rsidR="00EE09A4">
        <w:rPr>
          <w:lang w:val="en-US" w:eastAsia="ja-JP"/>
        </w:rPr>
        <w:t>an</w:t>
      </w:r>
      <w:r w:rsidR="006E368B">
        <w:rPr>
          <w:lang w:val="en-US" w:eastAsia="ja-JP"/>
        </w:rPr>
        <w:t xml:space="preserve"> NTN band must only impact the NTN frequency ranges </w:t>
      </w:r>
      <w:r w:rsidR="00C521FA">
        <w:rPr>
          <w:lang w:val="en-US" w:eastAsia="ja-JP"/>
        </w:rPr>
        <w:t>captured in TS 38.101-5 and TS 38.108.</w:t>
      </w:r>
    </w:p>
    <w:p w14:paraId="7AC69E2F" w14:textId="775AF450" w:rsidR="00C521FA" w:rsidRDefault="00220DA0" w:rsidP="00D3239E">
      <w:pPr>
        <w:pStyle w:val="RAN4proposal"/>
        <w:rPr>
          <w:lang w:val="en-US" w:eastAsia="ja-JP"/>
        </w:rPr>
      </w:pPr>
      <w:bookmarkStart w:id="9" w:name="_Toc174143301"/>
      <w:r>
        <w:rPr>
          <w:lang w:val="en-US" w:eastAsia="ja-JP"/>
        </w:rPr>
        <w:t xml:space="preserve">Any new </w:t>
      </w:r>
      <w:r w:rsidR="00906406">
        <w:rPr>
          <w:lang w:val="en-US" w:eastAsia="ja-JP"/>
        </w:rPr>
        <w:t xml:space="preserve">or extended </w:t>
      </w:r>
      <w:r w:rsidR="00906406" w:rsidRPr="00931197">
        <w:rPr>
          <w:lang w:val="en-US" w:eastAsia="ja-JP"/>
        </w:rPr>
        <w:t>frequency</w:t>
      </w:r>
      <w:r w:rsidR="00906406" w:rsidRPr="00931197">
        <w:rPr>
          <w:rFonts w:hint="eastAsia"/>
          <w:lang w:val="en-US" w:eastAsia="ja-JP"/>
        </w:rPr>
        <w:t xml:space="preserve"> range covering Ku band</w:t>
      </w:r>
      <w:r w:rsidR="00906406">
        <w:rPr>
          <w:lang w:val="en-US" w:eastAsia="ja-JP"/>
        </w:rPr>
        <w:t>(s) can only be reflected in</w:t>
      </w:r>
      <w:r w:rsidR="00906406" w:rsidRPr="00906406">
        <w:t xml:space="preserve"> </w:t>
      </w:r>
      <w:r w:rsidR="00906406" w:rsidRPr="00906406">
        <w:rPr>
          <w:lang w:val="en-US" w:eastAsia="ja-JP"/>
        </w:rPr>
        <w:t>TS 38.101-5 and TS 38.108</w:t>
      </w:r>
      <w:r w:rsidR="00906406">
        <w:rPr>
          <w:lang w:val="en-US" w:eastAsia="ja-JP"/>
        </w:rPr>
        <w:t>.</w:t>
      </w:r>
      <w:bookmarkEnd w:id="9"/>
      <w:r w:rsidR="00906406">
        <w:rPr>
          <w:lang w:val="en-US" w:eastAsia="ja-JP"/>
        </w:rPr>
        <w:t xml:space="preserve"> </w:t>
      </w:r>
    </w:p>
    <w:p w14:paraId="3068AB85" w14:textId="2A3B7A7F" w:rsidR="00A56CC6" w:rsidRPr="0061508D" w:rsidRDefault="00A56CC6" w:rsidP="009A419B">
      <w:pPr>
        <w:pStyle w:val="RAN4H2"/>
      </w:pPr>
      <w:r>
        <w:rPr>
          <w:rFonts w:hint="eastAsia"/>
        </w:rPr>
        <w:t>Operating band</w:t>
      </w:r>
    </w:p>
    <w:p w14:paraId="00B14C81" w14:textId="5FD82DAF" w:rsidR="00931197" w:rsidRDefault="00A56CC6" w:rsidP="0061508D">
      <w:pPr>
        <w:rPr>
          <w:lang w:val="en-US" w:eastAsia="ja-JP"/>
        </w:rPr>
      </w:pPr>
      <w:r>
        <w:rPr>
          <w:rFonts w:hint="eastAsia"/>
          <w:lang w:val="en-US" w:eastAsia="ja-JP"/>
        </w:rPr>
        <w:t>T</w:t>
      </w:r>
      <w:r>
        <w:rPr>
          <w:lang w:val="en-US" w:eastAsia="ja-JP"/>
        </w:rPr>
        <w:t>h</w:t>
      </w:r>
      <w:r>
        <w:rPr>
          <w:rFonts w:hint="eastAsia"/>
          <w:lang w:val="en-US" w:eastAsia="ja-JP"/>
        </w:rPr>
        <w:t xml:space="preserve">e following four operating bands are </w:t>
      </w:r>
      <w:r w:rsidR="004D5EF2">
        <w:rPr>
          <w:rFonts w:hint="eastAsia"/>
          <w:lang w:val="en-US" w:eastAsia="ja-JP"/>
        </w:rPr>
        <w:t xml:space="preserve">tabulated from </w:t>
      </w:r>
      <w:r>
        <w:rPr>
          <w:rFonts w:hint="eastAsia"/>
          <w:lang w:val="en-US" w:eastAsia="ja-JP"/>
        </w:rPr>
        <w:t xml:space="preserve">the WI </w:t>
      </w:r>
      <w:r w:rsidR="004D5EF2">
        <w:rPr>
          <w:rFonts w:hint="eastAsia"/>
          <w:lang w:val="en-US" w:eastAsia="ja-JP"/>
        </w:rPr>
        <w:t xml:space="preserve">objective </w:t>
      </w:r>
      <w:r>
        <w:rPr>
          <w:rFonts w:hint="eastAsia"/>
          <w:lang w:val="en-US" w:eastAsia="ja-JP"/>
        </w:rPr>
        <w:t>[1]</w:t>
      </w:r>
      <w:r w:rsidR="004D5EF2">
        <w:rPr>
          <w:rFonts w:hint="eastAsia"/>
          <w:lang w:val="en-US" w:eastAsia="ja-JP"/>
        </w:rPr>
        <w:t xml:space="preserve"> in the format of operating band definition.</w:t>
      </w:r>
    </w:p>
    <w:tbl>
      <w:tblPr>
        <w:tblStyle w:val="TableGrid"/>
        <w:tblW w:w="3974" w:type="pct"/>
        <w:tblInd w:w="988" w:type="dxa"/>
        <w:tblLook w:val="04A0" w:firstRow="1" w:lastRow="0" w:firstColumn="1" w:lastColumn="0" w:noHBand="0" w:noVBand="1"/>
      </w:tblPr>
      <w:tblGrid>
        <w:gridCol w:w="1037"/>
        <w:gridCol w:w="2638"/>
        <w:gridCol w:w="2688"/>
        <w:gridCol w:w="1281"/>
      </w:tblGrid>
      <w:tr w:rsidR="00A56CC6" w14:paraId="570A8D95" w14:textId="77777777" w:rsidTr="00A56CC6">
        <w:tc>
          <w:tcPr>
            <w:tcW w:w="678" w:type="pct"/>
            <w:tcBorders>
              <w:top w:val="single" w:sz="4" w:space="0" w:color="auto"/>
              <w:left w:val="single" w:sz="4" w:space="0" w:color="auto"/>
              <w:bottom w:val="single" w:sz="4" w:space="0" w:color="auto"/>
              <w:right w:val="single" w:sz="4" w:space="0" w:color="auto"/>
            </w:tcBorders>
          </w:tcPr>
          <w:p w14:paraId="3F70091B" w14:textId="77777777" w:rsidR="00A56CC6" w:rsidRPr="008D1263" w:rsidRDefault="00A56CC6" w:rsidP="00093075">
            <w:pPr>
              <w:pStyle w:val="TAH"/>
              <w:rPr>
                <w:bCs/>
                <w:lang w:val="sv-SE"/>
              </w:rPr>
            </w:pPr>
            <w:r w:rsidRPr="008D1263">
              <w:t>Satellite operating band</w:t>
            </w:r>
          </w:p>
        </w:tc>
        <w:tc>
          <w:tcPr>
            <w:tcW w:w="1726" w:type="pct"/>
            <w:tcBorders>
              <w:top w:val="single" w:sz="4" w:space="0" w:color="auto"/>
              <w:left w:val="single" w:sz="4" w:space="0" w:color="auto"/>
              <w:bottom w:val="single" w:sz="4" w:space="0" w:color="auto"/>
              <w:right w:val="single" w:sz="4" w:space="0" w:color="auto"/>
            </w:tcBorders>
          </w:tcPr>
          <w:p w14:paraId="481A1B83" w14:textId="77777777" w:rsidR="00A56CC6" w:rsidRPr="00CF3C07" w:rsidRDefault="00A56CC6" w:rsidP="00093075">
            <w:pPr>
              <w:pStyle w:val="TAH"/>
            </w:pPr>
            <w:r w:rsidRPr="00CF3C07">
              <w:t>Uplink (UL) operating band</w:t>
            </w:r>
            <w:r w:rsidRPr="00CF3C07">
              <w:br/>
            </w:r>
            <w:r w:rsidRPr="002301BF">
              <w:rPr>
                <w:lang w:val="en-US"/>
              </w:rPr>
              <w:t>SAN</w:t>
            </w:r>
            <w:r w:rsidRPr="00CF3C07">
              <w:t xml:space="preserve"> receive / UE transmit</w:t>
            </w:r>
          </w:p>
          <w:p w14:paraId="2C9E4E1A" w14:textId="77777777" w:rsidR="00A56CC6" w:rsidRPr="008D1263" w:rsidRDefault="00A56CC6" w:rsidP="00093075">
            <w:pPr>
              <w:pStyle w:val="TAH"/>
              <w:rPr>
                <w:bCs/>
                <w:lang w:val="sv-SE"/>
              </w:rPr>
            </w:pPr>
            <w:proofErr w:type="spellStart"/>
            <w:proofErr w:type="gramStart"/>
            <w:r w:rsidRPr="008D1263">
              <w:t>F</w:t>
            </w:r>
            <w:r w:rsidRPr="008D1263">
              <w:rPr>
                <w:vertAlign w:val="subscript"/>
              </w:rPr>
              <w:t>UL,low</w:t>
            </w:r>
            <w:proofErr w:type="spellEnd"/>
            <w:proofErr w:type="gramEnd"/>
            <w:r w:rsidRPr="008D1263">
              <w:t xml:space="preserve">   –  </w:t>
            </w:r>
            <w:proofErr w:type="spellStart"/>
            <w:r w:rsidRPr="008D1263">
              <w:t>F</w:t>
            </w:r>
            <w:r w:rsidRPr="008D1263">
              <w:rPr>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14:paraId="5027094C" w14:textId="77777777" w:rsidR="00A56CC6" w:rsidRPr="00CF3C07" w:rsidRDefault="00A56CC6" w:rsidP="00093075">
            <w:pPr>
              <w:pStyle w:val="TAH"/>
            </w:pPr>
            <w:r w:rsidRPr="00CF3C07">
              <w:t>Downlink (DL) operating band</w:t>
            </w:r>
            <w:r w:rsidRPr="00CF3C07">
              <w:br/>
            </w:r>
            <w:r w:rsidRPr="002301BF">
              <w:rPr>
                <w:lang w:val="en-US"/>
              </w:rPr>
              <w:t>SAN</w:t>
            </w:r>
            <w:r w:rsidRPr="00CF3C07">
              <w:t xml:space="preserve"> transmit / UE receive</w:t>
            </w:r>
          </w:p>
          <w:p w14:paraId="049C77E3" w14:textId="77777777" w:rsidR="00A56CC6" w:rsidRPr="008D1263" w:rsidRDefault="00A56CC6" w:rsidP="00093075">
            <w:pPr>
              <w:pStyle w:val="TAH"/>
              <w:rPr>
                <w:bCs/>
                <w:lang w:val="sv-SE"/>
              </w:rPr>
            </w:pPr>
            <w:proofErr w:type="spellStart"/>
            <w:proofErr w:type="gramStart"/>
            <w:r w:rsidRPr="008D1263">
              <w:t>F</w:t>
            </w:r>
            <w:r w:rsidRPr="008D1263">
              <w:rPr>
                <w:vertAlign w:val="subscript"/>
              </w:rPr>
              <w:t>DL,low</w:t>
            </w:r>
            <w:proofErr w:type="spellEnd"/>
            <w:proofErr w:type="gramEnd"/>
            <w:r w:rsidRPr="008D1263">
              <w:t xml:space="preserve">   –  </w:t>
            </w:r>
            <w:proofErr w:type="spellStart"/>
            <w:r w:rsidRPr="008D1263">
              <w:t>F</w:t>
            </w:r>
            <w:r w:rsidRPr="008D1263">
              <w:rPr>
                <w:vertAlign w:val="subscript"/>
              </w:rPr>
              <w:t>DL,high</w:t>
            </w:r>
            <w:proofErr w:type="spellEnd"/>
          </w:p>
        </w:tc>
        <w:tc>
          <w:tcPr>
            <w:tcW w:w="838" w:type="pct"/>
            <w:tcBorders>
              <w:top w:val="single" w:sz="4" w:space="0" w:color="auto"/>
              <w:left w:val="single" w:sz="4" w:space="0" w:color="auto"/>
              <w:bottom w:val="single" w:sz="4" w:space="0" w:color="auto"/>
              <w:right w:val="single" w:sz="4" w:space="0" w:color="auto"/>
            </w:tcBorders>
          </w:tcPr>
          <w:p w14:paraId="01AFF9B0" w14:textId="77777777" w:rsidR="00A56CC6" w:rsidRPr="008D1263" w:rsidRDefault="00A56CC6" w:rsidP="00093075">
            <w:pPr>
              <w:pStyle w:val="TAH"/>
              <w:rPr>
                <w:bCs/>
                <w:lang w:val="sv-SE"/>
              </w:rPr>
            </w:pPr>
            <w:r w:rsidRPr="008D1263">
              <w:t>Duplex mode</w:t>
            </w:r>
          </w:p>
        </w:tc>
      </w:tr>
      <w:tr w:rsidR="00A56CC6" w14:paraId="486A4DEE" w14:textId="77777777" w:rsidTr="00A56CC6">
        <w:tc>
          <w:tcPr>
            <w:tcW w:w="678" w:type="pct"/>
            <w:tcBorders>
              <w:top w:val="single" w:sz="4" w:space="0" w:color="auto"/>
              <w:left w:val="single" w:sz="4" w:space="0" w:color="auto"/>
              <w:bottom w:val="single" w:sz="4" w:space="0" w:color="auto"/>
              <w:right w:val="single" w:sz="4" w:space="0" w:color="auto"/>
            </w:tcBorders>
            <w:vAlign w:val="center"/>
          </w:tcPr>
          <w:p w14:paraId="4AE67342" w14:textId="6F63312D" w:rsidR="00A56CC6" w:rsidRPr="00A56CC6" w:rsidRDefault="00A56CC6" w:rsidP="00093075">
            <w:pPr>
              <w:pStyle w:val="TAC"/>
              <w:rPr>
                <w:rFonts w:eastAsia="ＭＳ 明朝"/>
                <w:lang w:val="sv-SE" w:eastAsia="ja-JP"/>
              </w:rPr>
            </w:pPr>
            <w:r>
              <w:rPr>
                <w:rFonts w:eastAsia="ＭＳ 明朝" w:hint="eastAsia"/>
                <w:lang w:val="sv-SE" w:eastAsia="ja-JP"/>
              </w:rPr>
              <w:t>#1a</w:t>
            </w:r>
          </w:p>
        </w:tc>
        <w:tc>
          <w:tcPr>
            <w:tcW w:w="1726" w:type="pct"/>
            <w:tcBorders>
              <w:top w:val="single" w:sz="4" w:space="0" w:color="auto"/>
              <w:left w:val="single" w:sz="4" w:space="0" w:color="auto"/>
              <w:bottom w:val="single" w:sz="4" w:space="0" w:color="auto"/>
              <w:right w:val="single" w:sz="4" w:space="0" w:color="auto"/>
            </w:tcBorders>
            <w:vAlign w:val="center"/>
          </w:tcPr>
          <w:p w14:paraId="05E08B90" w14:textId="4F3FB6FE" w:rsidR="00A56CC6" w:rsidRPr="008D1263" w:rsidRDefault="00A56CC6" w:rsidP="00093075">
            <w:pPr>
              <w:pStyle w:val="TAC"/>
              <w:rPr>
                <w:lang w:val="sv-SE"/>
              </w:rPr>
            </w:pPr>
            <w:r>
              <w:rPr>
                <w:rFonts w:eastAsia="ＭＳ 明朝" w:hint="eastAsia"/>
                <w:lang w:val="sv-SE" w:eastAsia="ja-JP"/>
              </w:rPr>
              <w:t>13750</w:t>
            </w:r>
            <w:r>
              <w:rPr>
                <w:lang w:val="sv-SE"/>
              </w:rPr>
              <w:t xml:space="preserve"> MHz</w:t>
            </w:r>
            <w:r w:rsidRPr="00CF3C07">
              <w:rPr>
                <w:lang w:val="sv-SE"/>
              </w:rPr>
              <w:t xml:space="preserve"> - </w:t>
            </w:r>
            <w:r>
              <w:rPr>
                <w:rFonts w:eastAsia="ＭＳ 明朝" w:hint="eastAsia"/>
                <w:lang w:val="sv-SE" w:eastAsia="ja-JP"/>
              </w:rPr>
              <w:t>14500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1256CBF6" w14:textId="0577CDDE" w:rsidR="00A56CC6" w:rsidRPr="008D1263" w:rsidRDefault="00A56CC6" w:rsidP="00093075">
            <w:pPr>
              <w:pStyle w:val="TAC"/>
              <w:rPr>
                <w:lang w:val="sv-SE"/>
              </w:rPr>
            </w:pPr>
            <w:r>
              <w:rPr>
                <w:rFonts w:eastAsia="ＭＳ 明朝" w:hint="eastAsia"/>
                <w:lang w:val="sv-SE" w:eastAsia="ja-JP"/>
              </w:rPr>
              <w:t>10700</w:t>
            </w:r>
            <w:r>
              <w:rPr>
                <w:lang w:val="sv-SE"/>
              </w:rPr>
              <w:t xml:space="preserve"> MHz</w:t>
            </w:r>
            <w:r w:rsidRPr="00CF3C07">
              <w:rPr>
                <w:lang w:val="sv-SE"/>
              </w:rPr>
              <w:t xml:space="preserve"> - </w:t>
            </w:r>
            <w:r>
              <w:rPr>
                <w:rFonts w:eastAsia="ＭＳ 明朝" w:hint="eastAsia"/>
                <w:lang w:val="sv-SE" w:eastAsia="ja-JP"/>
              </w:rPr>
              <w:t>12750</w:t>
            </w:r>
            <w:r w:rsidRPr="00CF3C07">
              <w:rPr>
                <w:lang w:val="sv-SE"/>
              </w:rPr>
              <w:t xml:space="preserve"> </w:t>
            </w:r>
            <w:r>
              <w:rPr>
                <w:lang w:val="sv-SE"/>
              </w:rPr>
              <w:t>M</w:t>
            </w:r>
            <w:r w:rsidRPr="008D1263">
              <w:rPr>
                <w:lang w:val="sv-SE"/>
              </w:rPr>
              <w:t>Hz</w:t>
            </w:r>
          </w:p>
        </w:tc>
        <w:tc>
          <w:tcPr>
            <w:tcW w:w="838" w:type="pct"/>
            <w:tcBorders>
              <w:top w:val="single" w:sz="4" w:space="0" w:color="auto"/>
              <w:left w:val="single" w:sz="4" w:space="0" w:color="auto"/>
              <w:bottom w:val="single" w:sz="4" w:space="0" w:color="auto"/>
              <w:right w:val="single" w:sz="4" w:space="0" w:color="auto"/>
            </w:tcBorders>
          </w:tcPr>
          <w:p w14:paraId="26DB5C22" w14:textId="77777777" w:rsidR="00A56CC6" w:rsidRPr="008D1263" w:rsidRDefault="00A56CC6" w:rsidP="00093075">
            <w:pPr>
              <w:pStyle w:val="TAC"/>
              <w:rPr>
                <w:lang w:val="sv-SE"/>
              </w:rPr>
            </w:pPr>
            <w:r w:rsidRPr="008D1263">
              <w:rPr>
                <w:lang w:val="sv-SE"/>
              </w:rPr>
              <w:t>FDD</w:t>
            </w:r>
          </w:p>
        </w:tc>
      </w:tr>
      <w:tr w:rsidR="00A56CC6" w14:paraId="1CA34D9E" w14:textId="77777777" w:rsidTr="00A56CC6">
        <w:tc>
          <w:tcPr>
            <w:tcW w:w="678" w:type="pct"/>
            <w:tcBorders>
              <w:top w:val="single" w:sz="4" w:space="0" w:color="auto"/>
              <w:left w:val="single" w:sz="4" w:space="0" w:color="auto"/>
              <w:bottom w:val="single" w:sz="4" w:space="0" w:color="auto"/>
              <w:right w:val="single" w:sz="4" w:space="0" w:color="auto"/>
            </w:tcBorders>
            <w:vAlign w:val="center"/>
          </w:tcPr>
          <w:p w14:paraId="313C8B8A" w14:textId="79E82641" w:rsidR="00A56CC6" w:rsidRPr="00A56CC6" w:rsidRDefault="00A56CC6" w:rsidP="00093075">
            <w:pPr>
              <w:pStyle w:val="TAC"/>
              <w:rPr>
                <w:rFonts w:eastAsia="ＭＳ 明朝"/>
                <w:lang w:val="sv-SE" w:eastAsia="ja-JP"/>
              </w:rPr>
            </w:pPr>
            <w:r>
              <w:rPr>
                <w:rFonts w:eastAsia="ＭＳ 明朝" w:hint="eastAsia"/>
                <w:lang w:val="sv-SE" w:eastAsia="ja-JP"/>
              </w:rPr>
              <w:t>#1b</w:t>
            </w:r>
          </w:p>
        </w:tc>
        <w:tc>
          <w:tcPr>
            <w:tcW w:w="1726" w:type="pct"/>
            <w:tcBorders>
              <w:top w:val="single" w:sz="4" w:space="0" w:color="auto"/>
              <w:left w:val="single" w:sz="4" w:space="0" w:color="auto"/>
              <w:bottom w:val="single" w:sz="4" w:space="0" w:color="auto"/>
              <w:right w:val="single" w:sz="4" w:space="0" w:color="auto"/>
            </w:tcBorders>
            <w:vAlign w:val="center"/>
          </w:tcPr>
          <w:p w14:paraId="7AC1EC12" w14:textId="4E97C36F" w:rsidR="00A56CC6" w:rsidRPr="008D1263" w:rsidRDefault="00A56CC6" w:rsidP="00093075">
            <w:pPr>
              <w:pStyle w:val="TAC"/>
              <w:rPr>
                <w:lang w:val="sv-SE"/>
              </w:rPr>
            </w:pPr>
            <w:r>
              <w:rPr>
                <w:rFonts w:eastAsia="ＭＳ 明朝" w:hint="eastAsia"/>
                <w:lang w:val="sv-SE" w:eastAsia="ja-JP"/>
              </w:rPr>
              <w:t>13750</w:t>
            </w:r>
            <w:r>
              <w:rPr>
                <w:lang w:val="sv-SE"/>
              </w:rPr>
              <w:t xml:space="preserve"> MHz</w:t>
            </w:r>
            <w:r w:rsidRPr="00CF3C07">
              <w:rPr>
                <w:lang w:val="sv-SE"/>
              </w:rPr>
              <w:t xml:space="preserve"> - </w:t>
            </w:r>
            <w:r>
              <w:rPr>
                <w:rFonts w:eastAsia="ＭＳ 明朝" w:hint="eastAsia"/>
                <w:lang w:val="sv-SE" w:eastAsia="ja-JP"/>
              </w:rPr>
              <w:t>145</w:t>
            </w:r>
            <w:r>
              <w:rPr>
                <w:lang w:val="sv-SE"/>
              </w:rPr>
              <w:t>00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C8A5E8E" w14:textId="4ABF9336" w:rsidR="00A56CC6" w:rsidRPr="008D1263" w:rsidRDefault="00A56CC6" w:rsidP="00093075">
            <w:pPr>
              <w:pStyle w:val="TAC"/>
              <w:rPr>
                <w:lang w:val="sv-SE"/>
              </w:rPr>
            </w:pPr>
            <w:r w:rsidRPr="00CF3C07">
              <w:rPr>
                <w:lang w:val="sv-SE"/>
              </w:rPr>
              <w:t>1</w:t>
            </w:r>
            <w:r>
              <w:rPr>
                <w:rFonts w:eastAsia="ＭＳ 明朝" w:hint="eastAsia"/>
                <w:lang w:val="sv-SE" w:eastAsia="ja-JP"/>
              </w:rPr>
              <w:t>0700</w:t>
            </w:r>
            <w:r>
              <w:rPr>
                <w:lang w:val="sv-SE"/>
              </w:rPr>
              <w:t xml:space="preserve"> MHz</w:t>
            </w:r>
            <w:r w:rsidRPr="00CF3C07">
              <w:rPr>
                <w:lang w:val="sv-SE"/>
              </w:rPr>
              <w:t xml:space="preserve"> - </w:t>
            </w:r>
            <w:r>
              <w:rPr>
                <w:rFonts w:eastAsia="ＭＳ 明朝" w:hint="eastAsia"/>
                <w:lang w:val="sv-SE" w:eastAsia="ja-JP"/>
              </w:rPr>
              <w:t>127</w:t>
            </w:r>
            <w:r>
              <w:rPr>
                <w:lang w:val="sv-SE"/>
              </w:rPr>
              <w:t>00</w:t>
            </w:r>
            <w:r w:rsidRPr="00CF3C07">
              <w:rPr>
                <w:lang w:val="sv-SE"/>
              </w:rPr>
              <w:t xml:space="preserve"> </w:t>
            </w:r>
            <w:r>
              <w:rPr>
                <w:lang w:val="sv-SE"/>
              </w:rPr>
              <w:t>M</w:t>
            </w:r>
            <w:r w:rsidRPr="008D1263">
              <w:rPr>
                <w:lang w:val="sv-SE"/>
              </w:rPr>
              <w:t>Hz</w:t>
            </w:r>
          </w:p>
        </w:tc>
        <w:tc>
          <w:tcPr>
            <w:tcW w:w="838" w:type="pct"/>
            <w:tcBorders>
              <w:top w:val="single" w:sz="4" w:space="0" w:color="auto"/>
              <w:left w:val="single" w:sz="4" w:space="0" w:color="auto"/>
              <w:bottom w:val="single" w:sz="4" w:space="0" w:color="auto"/>
              <w:right w:val="single" w:sz="4" w:space="0" w:color="auto"/>
            </w:tcBorders>
          </w:tcPr>
          <w:p w14:paraId="635A5CB4" w14:textId="77777777" w:rsidR="00A56CC6" w:rsidRPr="008D1263" w:rsidRDefault="00A56CC6" w:rsidP="00093075">
            <w:pPr>
              <w:pStyle w:val="TAC"/>
              <w:rPr>
                <w:lang w:val="sv-SE"/>
              </w:rPr>
            </w:pPr>
            <w:r w:rsidRPr="008D1263">
              <w:rPr>
                <w:lang w:val="sv-SE"/>
              </w:rPr>
              <w:t>FDD</w:t>
            </w:r>
          </w:p>
        </w:tc>
      </w:tr>
      <w:tr w:rsidR="00A56CC6" w14:paraId="00BE8217" w14:textId="77777777" w:rsidTr="00A56CC6">
        <w:tc>
          <w:tcPr>
            <w:tcW w:w="678" w:type="pct"/>
            <w:tcBorders>
              <w:top w:val="single" w:sz="4" w:space="0" w:color="auto"/>
              <w:left w:val="single" w:sz="4" w:space="0" w:color="auto"/>
              <w:bottom w:val="single" w:sz="4" w:space="0" w:color="auto"/>
              <w:right w:val="single" w:sz="4" w:space="0" w:color="auto"/>
            </w:tcBorders>
            <w:vAlign w:val="center"/>
          </w:tcPr>
          <w:p w14:paraId="6D3B5807" w14:textId="1BC30AB1" w:rsidR="00A56CC6" w:rsidRPr="00A56CC6" w:rsidRDefault="00A56CC6" w:rsidP="00A56CC6">
            <w:pPr>
              <w:pStyle w:val="TAC"/>
              <w:rPr>
                <w:rFonts w:eastAsia="ＭＳ 明朝"/>
                <w:lang w:val="sv-SE" w:eastAsia="ja-JP"/>
              </w:rPr>
            </w:pPr>
            <w:r>
              <w:rPr>
                <w:rFonts w:eastAsia="ＭＳ 明朝" w:hint="eastAsia"/>
                <w:lang w:val="sv-SE" w:eastAsia="ja-JP"/>
              </w:rPr>
              <w:t>#2a</w:t>
            </w:r>
          </w:p>
        </w:tc>
        <w:tc>
          <w:tcPr>
            <w:tcW w:w="1726" w:type="pct"/>
            <w:tcBorders>
              <w:top w:val="single" w:sz="4" w:space="0" w:color="auto"/>
              <w:left w:val="single" w:sz="4" w:space="0" w:color="auto"/>
              <w:bottom w:val="single" w:sz="4" w:space="0" w:color="auto"/>
              <w:right w:val="single" w:sz="4" w:space="0" w:color="auto"/>
            </w:tcBorders>
            <w:vAlign w:val="center"/>
          </w:tcPr>
          <w:p w14:paraId="18ACE607" w14:textId="386D46E0" w:rsidR="00A56CC6" w:rsidRPr="00A56CC6" w:rsidRDefault="00A56CC6" w:rsidP="00A56CC6">
            <w:pPr>
              <w:pStyle w:val="TAC"/>
              <w:rPr>
                <w:rFonts w:eastAsia="ＭＳ 明朝"/>
                <w:lang w:val="sv-SE" w:eastAsia="ja-JP"/>
              </w:rPr>
            </w:pPr>
            <w:r>
              <w:rPr>
                <w:rFonts w:eastAsia="ＭＳ 明朝" w:hint="eastAsia"/>
                <w:lang w:val="sv-SE" w:eastAsia="ja-JP"/>
              </w:rPr>
              <w:t>12750</w:t>
            </w:r>
            <w:r>
              <w:rPr>
                <w:lang w:val="sv-SE"/>
              </w:rPr>
              <w:t xml:space="preserve"> MHz</w:t>
            </w:r>
            <w:r w:rsidRPr="00CF3C07">
              <w:rPr>
                <w:lang w:val="sv-SE"/>
              </w:rPr>
              <w:t xml:space="preserve"> - </w:t>
            </w:r>
            <w:r>
              <w:rPr>
                <w:rFonts w:eastAsia="ＭＳ 明朝" w:hint="eastAsia"/>
                <w:lang w:val="sv-SE" w:eastAsia="ja-JP"/>
              </w:rPr>
              <w:t>1325</w:t>
            </w:r>
            <w:r>
              <w:rPr>
                <w:lang w:val="sv-SE"/>
              </w:rPr>
              <w:t>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3C015A28" w14:textId="594BB3E9" w:rsidR="00A56CC6" w:rsidRPr="00CF3C07" w:rsidRDefault="00A56CC6" w:rsidP="00A56CC6">
            <w:pPr>
              <w:pStyle w:val="TAC"/>
              <w:rPr>
                <w:lang w:val="sv-SE"/>
              </w:rPr>
            </w:pPr>
            <w:r w:rsidRPr="00CF3C07">
              <w:rPr>
                <w:lang w:val="sv-SE"/>
              </w:rPr>
              <w:t>1</w:t>
            </w:r>
            <w:r>
              <w:rPr>
                <w:rFonts w:eastAsia="ＭＳ 明朝" w:hint="eastAsia"/>
                <w:lang w:val="sv-SE" w:eastAsia="ja-JP"/>
              </w:rPr>
              <w:t>0700</w:t>
            </w:r>
            <w:r>
              <w:rPr>
                <w:lang w:val="sv-SE"/>
              </w:rPr>
              <w:t xml:space="preserve"> MHz</w:t>
            </w:r>
            <w:r w:rsidRPr="00CF3C07">
              <w:rPr>
                <w:lang w:val="sv-SE"/>
              </w:rPr>
              <w:t xml:space="preserve"> - </w:t>
            </w:r>
            <w:r>
              <w:rPr>
                <w:rFonts w:eastAsia="ＭＳ 明朝" w:hint="eastAsia"/>
                <w:lang w:val="sv-SE" w:eastAsia="ja-JP"/>
              </w:rPr>
              <w:t>1275</w:t>
            </w:r>
            <w:r>
              <w:rPr>
                <w:lang w:val="sv-SE"/>
              </w:rPr>
              <w:t>0</w:t>
            </w:r>
            <w:r w:rsidRPr="00CF3C07">
              <w:rPr>
                <w:lang w:val="sv-SE"/>
              </w:rPr>
              <w:t xml:space="preserve"> </w:t>
            </w:r>
            <w:r>
              <w:rPr>
                <w:lang w:val="sv-SE"/>
              </w:rPr>
              <w:t>M</w:t>
            </w:r>
            <w:r w:rsidRPr="008D1263">
              <w:rPr>
                <w:lang w:val="sv-SE"/>
              </w:rPr>
              <w:t>Hz</w:t>
            </w:r>
          </w:p>
        </w:tc>
        <w:tc>
          <w:tcPr>
            <w:tcW w:w="838" w:type="pct"/>
            <w:tcBorders>
              <w:top w:val="single" w:sz="4" w:space="0" w:color="auto"/>
              <w:left w:val="single" w:sz="4" w:space="0" w:color="auto"/>
              <w:bottom w:val="single" w:sz="4" w:space="0" w:color="auto"/>
              <w:right w:val="single" w:sz="4" w:space="0" w:color="auto"/>
            </w:tcBorders>
          </w:tcPr>
          <w:p w14:paraId="1AEC928A" w14:textId="095DB47A" w:rsidR="00A56CC6" w:rsidRPr="00A56CC6" w:rsidRDefault="00A56CC6" w:rsidP="00A56CC6">
            <w:pPr>
              <w:pStyle w:val="TAC"/>
              <w:rPr>
                <w:rFonts w:eastAsia="ＭＳ 明朝"/>
                <w:lang w:val="sv-SE" w:eastAsia="ja-JP"/>
              </w:rPr>
            </w:pPr>
            <w:r>
              <w:rPr>
                <w:rFonts w:eastAsia="ＭＳ 明朝" w:hint="eastAsia"/>
                <w:lang w:val="sv-SE" w:eastAsia="ja-JP"/>
              </w:rPr>
              <w:t>FDD</w:t>
            </w:r>
          </w:p>
        </w:tc>
      </w:tr>
      <w:tr w:rsidR="00A56CC6" w14:paraId="04B900AB" w14:textId="77777777" w:rsidTr="00A56CC6">
        <w:tc>
          <w:tcPr>
            <w:tcW w:w="678" w:type="pct"/>
            <w:tcBorders>
              <w:top w:val="single" w:sz="4" w:space="0" w:color="auto"/>
              <w:left w:val="single" w:sz="4" w:space="0" w:color="auto"/>
              <w:bottom w:val="single" w:sz="4" w:space="0" w:color="auto"/>
              <w:right w:val="single" w:sz="4" w:space="0" w:color="auto"/>
            </w:tcBorders>
            <w:vAlign w:val="center"/>
          </w:tcPr>
          <w:p w14:paraId="3FE57346" w14:textId="27601774" w:rsidR="00A56CC6" w:rsidRPr="00A56CC6" w:rsidRDefault="00A56CC6" w:rsidP="00A56CC6">
            <w:pPr>
              <w:pStyle w:val="TAC"/>
              <w:rPr>
                <w:rFonts w:eastAsia="ＭＳ 明朝"/>
                <w:lang w:val="sv-SE" w:eastAsia="ja-JP"/>
              </w:rPr>
            </w:pPr>
            <w:r>
              <w:rPr>
                <w:rFonts w:eastAsia="ＭＳ 明朝" w:hint="eastAsia"/>
                <w:lang w:val="sv-SE" w:eastAsia="ja-JP"/>
              </w:rPr>
              <w:t>#2b</w:t>
            </w:r>
          </w:p>
        </w:tc>
        <w:tc>
          <w:tcPr>
            <w:tcW w:w="1726" w:type="pct"/>
            <w:tcBorders>
              <w:top w:val="single" w:sz="4" w:space="0" w:color="auto"/>
              <w:left w:val="single" w:sz="4" w:space="0" w:color="auto"/>
              <w:bottom w:val="single" w:sz="4" w:space="0" w:color="auto"/>
              <w:right w:val="single" w:sz="4" w:space="0" w:color="auto"/>
            </w:tcBorders>
            <w:vAlign w:val="center"/>
          </w:tcPr>
          <w:p w14:paraId="60842C34" w14:textId="4E7546AE" w:rsidR="00A56CC6" w:rsidRPr="008D1263" w:rsidRDefault="00A56CC6" w:rsidP="00A56CC6">
            <w:pPr>
              <w:pStyle w:val="TAC"/>
              <w:rPr>
                <w:lang w:val="sv-SE"/>
              </w:rPr>
            </w:pPr>
            <w:r>
              <w:rPr>
                <w:rFonts w:eastAsia="ＭＳ 明朝" w:hint="eastAsia"/>
                <w:lang w:val="sv-SE" w:eastAsia="ja-JP"/>
              </w:rPr>
              <w:t>12700</w:t>
            </w:r>
            <w:r>
              <w:rPr>
                <w:lang w:val="sv-SE"/>
              </w:rPr>
              <w:t xml:space="preserve"> MHz</w:t>
            </w:r>
            <w:r w:rsidRPr="00CF3C07">
              <w:rPr>
                <w:lang w:val="sv-SE"/>
              </w:rPr>
              <w:t xml:space="preserve"> - </w:t>
            </w:r>
            <w:r>
              <w:rPr>
                <w:rFonts w:eastAsia="ＭＳ 明朝" w:hint="eastAsia"/>
                <w:lang w:val="sv-SE" w:eastAsia="ja-JP"/>
              </w:rPr>
              <w:t>1325</w:t>
            </w:r>
            <w:r>
              <w:rPr>
                <w:lang w:val="sv-SE"/>
              </w:rPr>
              <w:t>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49A0B6AF" w14:textId="2D0AC58A" w:rsidR="00A56CC6" w:rsidRPr="008D1263" w:rsidRDefault="00A56CC6" w:rsidP="00A56CC6">
            <w:pPr>
              <w:pStyle w:val="TAC"/>
              <w:rPr>
                <w:lang w:val="sv-SE"/>
              </w:rPr>
            </w:pPr>
            <w:r w:rsidRPr="00CF3C07">
              <w:rPr>
                <w:lang w:val="sv-SE"/>
              </w:rPr>
              <w:t>1</w:t>
            </w:r>
            <w:r>
              <w:rPr>
                <w:rFonts w:eastAsia="ＭＳ 明朝" w:hint="eastAsia"/>
                <w:lang w:val="sv-SE" w:eastAsia="ja-JP"/>
              </w:rPr>
              <w:t>0700</w:t>
            </w:r>
            <w:r>
              <w:rPr>
                <w:lang w:val="sv-SE"/>
              </w:rPr>
              <w:t xml:space="preserve"> MHz</w:t>
            </w:r>
            <w:r w:rsidRPr="00CF3C07">
              <w:rPr>
                <w:lang w:val="sv-SE"/>
              </w:rPr>
              <w:t xml:space="preserve"> - </w:t>
            </w:r>
            <w:r>
              <w:rPr>
                <w:rFonts w:eastAsia="ＭＳ 明朝" w:hint="eastAsia"/>
                <w:lang w:val="sv-SE" w:eastAsia="ja-JP"/>
              </w:rPr>
              <w:t>1270</w:t>
            </w:r>
            <w:r>
              <w:rPr>
                <w:lang w:val="sv-SE"/>
              </w:rPr>
              <w:t>0</w:t>
            </w:r>
            <w:r w:rsidRPr="00CF3C07">
              <w:rPr>
                <w:lang w:val="sv-SE"/>
              </w:rPr>
              <w:t xml:space="preserve"> </w:t>
            </w:r>
            <w:r>
              <w:rPr>
                <w:lang w:val="sv-SE"/>
              </w:rPr>
              <w:t>M</w:t>
            </w:r>
            <w:r w:rsidRPr="008D1263">
              <w:rPr>
                <w:lang w:val="sv-SE"/>
              </w:rPr>
              <w:t>Hz</w:t>
            </w:r>
          </w:p>
        </w:tc>
        <w:tc>
          <w:tcPr>
            <w:tcW w:w="838" w:type="pct"/>
            <w:tcBorders>
              <w:top w:val="single" w:sz="4" w:space="0" w:color="auto"/>
              <w:left w:val="single" w:sz="4" w:space="0" w:color="auto"/>
              <w:bottom w:val="single" w:sz="4" w:space="0" w:color="auto"/>
              <w:right w:val="single" w:sz="4" w:space="0" w:color="auto"/>
            </w:tcBorders>
          </w:tcPr>
          <w:p w14:paraId="358D31B7" w14:textId="77777777" w:rsidR="00A56CC6" w:rsidRPr="008D1263" w:rsidRDefault="00A56CC6" w:rsidP="00A56CC6">
            <w:pPr>
              <w:pStyle w:val="TAC"/>
              <w:rPr>
                <w:lang w:val="sv-SE"/>
              </w:rPr>
            </w:pPr>
            <w:r w:rsidRPr="008D1263">
              <w:rPr>
                <w:lang w:val="sv-SE"/>
              </w:rPr>
              <w:t>FDD</w:t>
            </w:r>
          </w:p>
        </w:tc>
      </w:tr>
    </w:tbl>
    <w:p w14:paraId="6DACE5CE" w14:textId="77777777" w:rsidR="00A56CC6" w:rsidRDefault="00A56CC6" w:rsidP="0061508D">
      <w:pPr>
        <w:rPr>
          <w:lang w:eastAsia="ja-JP"/>
        </w:rPr>
      </w:pPr>
    </w:p>
    <w:p w14:paraId="387271D7" w14:textId="180EBC69" w:rsidR="00A56CC6" w:rsidRPr="009B5CF8" w:rsidRDefault="00A56CC6" w:rsidP="0061508D">
      <w:pPr>
        <w:rPr>
          <w:lang w:eastAsia="ja-JP"/>
        </w:rPr>
      </w:pPr>
      <w:r>
        <w:rPr>
          <w:rFonts w:hint="eastAsia"/>
          <w:lang w:eastAsia="ja-JP"/>
        </w:rPr>
        <w:t xml:space="preserve">The operating band n256 and below is reserved for FR1-NTN bands. So far down to n254 is reserved. The </w:t>
      </w:r>
      <w:r>
        <w:rPr>
          <w:lang w:eastAsia="ja-JP"/>
        </w:rPr>
        <w:t>next</w:t>
      </w:r>
      <w:r>
        <w:rPr>
          <w:rFonts w:hint="eastAsia"/>
          <w:lang w:eastAsia="ja-JP"/>
        </w:rPr>
        <w:t xml:space="preserve"> FR1-NTN band </w:t>
      </w:r>
      <w:r>
        <w:rPr>
          <w:lang w:eastAsia="ja-JP"/>
        </w:rPr>
        <w:t>number</w:t>
      </w:r>
      <w:r>
        <w:rPr>
          <w:rFonts w:hint="eastAsia"/>
          <w:lang w:eastAsia="ja-JP"/>
        </w:rPr>
        <w:t xml:space="preserve"> </w:t>
      </w:r>
      <w:r>
        <w:rPr>
          <w:lang w:eastAsia="ja-JP"/>
        </w:rPr>
        <w:t>available</w:t>
      </w:r>
      <w:r>
        <w:rPr>
          <w:rFonts w:hint="eastAsia"/>
          <w:lang w:eastAsia="ja-JP"/>
        </w:rPr>
        <w:t xml:space="preserve"> is n253. The operating band n512 and below is reserved for FR2-NTN bands. The next FR2-NTN band number available is n509. </w:t>
      </w:r>
      <w:r w:rsidR="009B5CF8">
        <w:rPr>
          <w:rFonts w:hint="eastAsia"/>
          <w:lang w:eastAsia="ja-JP"/>
        </w:rPr>
        <w:t xml:space="preserve">Depending on the conclusion above, we can assign the new band numbers for Ku bands. If we </w:t>
      </w:r>
      <w:r w:rsidR="009B5CF8">
        <w:rPr>
          <w:lang w:eastAsia="ja-JP"/>
        </w:rPr>
        <w:t>define</w:t>
      </w:r>
      <w:r w:rsidR="009B5CF8">
        <w:rPr>
          <w:rFonts w:hint="eastAsia"/>
          <w:lang w:eastAsia="ja-JP"/>
        </w:rPr>
        <w:t xml:space="preserve"> a new </w:t>
      </w:r>
      <w:r w:rsidR="009B5CF8">
        <w:rPr>
          <w:lang w:eastAsia="ja-JP"/>
        </w:rPr>
        <w:t>frequency</w:t>
      </w:r>
      <w:r w:rsidR="009B5CF8">
        <w:rPr>
          <w:rFonts w:hint="eastAsia"/>
          <w:lang w:eastAsia="ja-JP"/>
        </w:rPr>
        <w:t xml:space="preserve"> range, we can reserve another range of operating band number.</w:t>
      </w:r>
    </w:p>
    <w:p w14:paraId="7EA90540" w14:textId="035220FD" w:rsidR="005F444B" w:rsidRPr="00931197" w:rsidRDefault="005F444B" w:rsidP="00B51C35">
      <w:pPr>
        <w:pStyle w:val="RAN4proposal"/>
        <w:rPr>
          <w:lang w:val="en-US" w:eastAsia="ja-JP"/>
        </w:rPr>
      </w:pPr>
      <w:bookmarkStart w:id="10" w:name="_Toc174143302"/>
      <w:r>
        <w:rPr>
          <w:rFonts w:hint="eastAsia"/>
          <w:lang w:val="en-US" w:eastAsia="ja-JP"/>
        </w:rPr>
        <w:t xml:space="preserve">We </w:t>
      </w:r>
      <w:r w:rsidRPr="005F444B">
        <w:rPr>
          <w:lang w:val="en-US" w:eastAsia="ja-JP"/>
        </w:rPr>
        <w:t>wait for the agreement on frequency range issue before agreeing to band numbers</w:t>
      </w:r>
      <w:r w:rsidR="00AC0DC5">
        <w:rPr>
          <w:rFonts w:hint="eastAsia"/>
          <w:lang w:val="en-US" w:eastAsia="ja-JP"/>
        </w:rPr>
        <w:t>.</w:t>
      </w:r>
      <w:bookmarkEnd w:id="10"/>
    </w:p>
    <w:p w14:paraId="704295D9" w14:textId="77777777" w:rsidR="00A56CC6" w:rsidRDefault="00A56CC6" w:rsidP="0061508D">
      <w:pPr>
        <w:rPr>
          <w:lang w:val="en-US" w:eastAsia="ja-JP"/>
        </w:rPr>
      </w:pPr>
    </w:p>
    <w:p w14:paraId="674801F4" w14:textId="77777777" w:rsidR="00EE09A4" w:rsidRDefault="00EE09A4" w:rsidP="0061508D">
      <w:pPr>
        <w:rPr>
          <w:lang w:val="en-US" w:eastAsia="ja-JP"/>
        </w:rPr>
      </w:pPr>
    </w:p>
    <w:p w14:paraId="52E076AA" w14:textId="77777777" w:rsidR="00EE09A4" w:rsidRDefault="00EE09A4" w:rsidP="0061508D">
      <w:pPr>
        <w:rPr>
          <w:lang w:val="en-US" w:eastAsia="ja-JP"/>
        </w:rPr>
      </w:pPr>
    </w:p>
    <w:p w14:paraId="697557ED" w14:textId="27303471" w:rsidR="006018C0" w:rsidRDefault="006018C0" w:rsidP="009A419B">
      <w:pPr>
        <w:pStyle w:val="RAN4H2"/>
      </w:pPr>
      <w:r>
        <w:rPr>
          <w:rFonts w:hint="eastAsia"/>
        </w:rPr>
        <w:t>Channel bandwidth</w:t>
      </w:r>
      <w:r w:rsidR="004F4255">
        <w:rPr>
          <w:rFonts w:hint="eastAsia"/>
        </w:rPr>
        <w:t xml:space="preserve"> and Subcarrier spacing</w:t>
      </w:r>
    </w:p>
    <w:p w14:paraId="123647C6" w14:textId="1F3EC8FD" w:rsidR="006018C0" w:rsidRDefault="006018C0" w:rsidP="006018C0">
      <w:pPr>
        <w:rPr>
          <w:szCs w:val="20"/>
          <w:lang w:eastAsia="ja-JP"/>
        </w:rPr>
      </w:pPr>
      <w:r>
        <w:rPr>
          <w:rFonts w:hint="eastAsia"/>
          <w:lang w:val="en-US" w:eastAsia="ja-JP"/>
        </w:rPr>
        <w:t xml:space="preserve">Priority 1 in the WI objective is to support </w:t>
      </w:r>
      <w:r>
        <w:rPr>
          <w:szCs w:val="20"/>
        </w:rPr>
        <w:t xml:space="preserve">125 MHz (UL) and 250 MHz (DL) aggregated bandwidths </w:t>
      </w:r>
      <w:r w:rsidRPr="00050C69">
        <w:rPr>
          <w:szCs w:val="20"/>
        </w:rPr>
        <w:t>based on existing channel bandwidths</w:t>
      </w:r>
      <w:r>
        <w:rPr>
          <w:szCs w:val="20"/>
        </w:rPr>
        <w:t>.</w:t>
      </w:r>
      <w:r>
        <w:rPr>
          <w:rFonts w:hint="eastAsia"/>
          <w:szCs w:val="20"/>
          <w:lang w:eastAsia="ja-JP"/>
        </w:rPr>
        <w:t xml:space="preserve"> </w:t>
      </w:r>
      <w:r w:rsidR="003E544C">
        <w:rPr>
          <w:rFonts w:hint="eastAsia"/>
          <w:szCs w:val="20"/>
          <w:lang w:eastAsia="ja-JP"/>
        </w:rPr>
        <w:t>As mentioned in the WI objective, f</w:t>
      </w:r>
      <w:r>
        <w:rPr>
          <w:rFonts w:hint="eastAsia"/>
          <w:szCs w:val="20"/>
          <w:lang w:eastAsia="ja-JP"/>
        </w:rPr>
        <w:t xml:space="preserve">or FR1-NTN, </w:t>
      </w:r>
      <w:r>
        <w:rPr>
          <w:szCs w:val="20"/>
        </w:rPr>
        <w:t>20 MHz, 35 MHz, 50 MHz, 70 MHz and 100 MHz channel bandwidths with 30 kHz subcarrier spacing</w:t>
      </w:r>
      <w:r>
        <w:rPr>
          <w:rFonts w:hint="eastAsia"/>
          <w:szCs w:val="20"/>
          <w:lang w:eastAsia="ja-JP"/>
        </w:rPr>
        <w:t xml:space="preserve"> can be introduced</w:t>
      </w:r>
      <w:r w:rsidR="004F4255">
        <w:rPr>
          <w:rFonts w:hint="eastAsia"/>
          <w:szCs w:val="20"/>
          <w:lang w:eastAsia="ja-JP"/>
        </w:rPr>
        <w:t>, though it is not restricted to</w:t>
      </w:r>
      <w:r>
        <w:rPr>
          <w:rFonts w:hint="eastAsia"/>
          <w:szCs w:val="20"/>
          <w:lang w:eastAsia="ja-JP"/>
        </w:rPr>
        <w:t xml:space="preserve">. For </w:t>
      </w:r>
      <w:r>
        <w:rPr>
          <w:szCs w:val="20"/>
        </w:rPr>
        <w:t>FR2-NTN</w:t>
      </w:r>
      <w:r>
        <w:rPr>
          <w:rFonts w:hint="eastAsia"/>
          <w:szCs w:val="20"/>
          <w:lang w:eastAsia="ja-JP"/>
        </w:rPr>
        <w:t xml:space="preserve">, </w:t>
      </w:r>
      <w:r>
        <w:rPr>
          <w:szCs w:val="20"/>
        </w:rPr>
        <w:t>50 MHz, 100 MHz, 200 MHz, 400 MHz (120kHz SCS only) channel bandwidths with 120 kHz subcarrier spacing</w:t>
      </w:r>
      <w:r>
        <w:rPr>
          <w:rFonts w:hint="eastAsia"/>
          <w:szCs w:val="20"/>
          <w:lang w:eastAsia="ja-JP"/>
        </w:rPr>
        <w:t xml:space="preserve"> can be introduced.</w:t>
      </w:r>
    </w:p>
    <w:p w14:paraId="1B9FCA02" w14:textId="604DF069" w:rsidR="004F4255" w:rsidRDefault="004F4255" w:rsidP="006018C0">
      <w:pPr>
        <w:rPr>
          <w:szCs w:val="20"/>
          <w:lang w:eastAsia="ja-JP"/>
        </w:rPr>
      </w:pPr>
      <w:r>
        <w:rPr>
          <w:rFonts w:hint="eastAsia"/>
          <w:szCs w:val="20"/>
          <w:lang w:eastAsia="ja-JP"/>
        </w:rPr>
        <w:t>FR1 option in the WID suggests only 30 kHz SCS, thought we could also introduce 15 and 60 kHz. It is to be further discussed we can only focus on 30 kHz SCS for FR1 option.</w:t>
      </w:r>
    </w:p>
    <w:p w14:paraId="4F283106" w14:textId="67256A61" w:rsidR="004F4255" w:rsidRDefault="004F4255" w:rsidP="006018C0">
      <w:pPr>
        <w:rPr>
          <w:szCs w:val="20"/>
          <w:lang w:eastAsia="ja-JP"/>
        </w:rPr>
      </w:pPr>
      <w:r>
        <w:rPr>
          <w:rFonts w:hint="eastAsia"/>
          <w:szCs w:val="20"/>
          <w:lang w:eastAsia="ja-JP"/>
        </w:rPr>
        <w:t>FR2-NTN option is likely to support 60 kHz and 120 kHz SCS like the existing FR2 bands.</w:t>
      </w:r>
    </w:p>
    <w:p w14:paraId="51E3CA31" w14:textId="4F277E41" w:rsidR="006018C0" w:rsidRDefault="006018C0" w:rsidP="006018C0">
      <w:pPr>
        <w:rPr>
          <w:szCs w:val="20"/>
          <w:lang w:eastAsia="ja-JP"/>
        </w:rPr>
      </w:pPr>
      <w:r>
        <w:rPr>
          <w:rFonts w:hint="eastAsia"/>
          <w:szCs w:val="20"/>
          <w:lang w:eastAsia="ja-JP"/>
        </w:rPr>
        <w:t>Support of NTN CA is not in the scope of this WID</w:t>
      </w:r>
      <w:r w:rsidR="004F4255">
        <w:rPr>
          <w:rFonts w:hint="eastAsia"/>
          <w:szCs w:val="20"/>
          <w:lang w:eastAsia="ja-JP"/>
        </w:rPr>
        <w:t>. S</w:t>
      </w:r>
      <w:r>
        <w:rPr>
          <w:rFonts w:hint="eastAsia"/>
          <w:szCs w:val="20"/>
          <w:lang w:eastAsia="ja-JP"/>
        </w:rPr>
        <w:t xml:space="preserve">ingle carrier operation should be first completed in this WI. </w:t>
      </w:r>
      <w:proofErr w:type="gramStart"/>
      <w:r>
        <w:rPr>
          <w:rFonts w:hint="eastAsia"/>
          <w:szCs w:val="20"/>
          <w:lang w:eastAsia="ja-JP"/>
        </w:rPr>
        <w:t>Thus</w:t>
      </w:r>
      <w:proofErr w:type="gramEnd"/>
      <w:r>
        <w:rPr>
          <w:rFonts w:hint="eastAsia"/>
          <w:szCs w:val="20"/>
          <w:lang w:eastAsia="ja-JP"/>
        </w:rPr>
        <w:t xml:space="preserve"> operation of aggregated bandwidth 125 MHz UL and 250 MHz DL should be discussed after this WI is </w:t>
      </w:r>
      <w:r>
        <w:rPr>
          <w:szCs w:val="20"/>
          <w:lang w:eastAsia="ja-JP"/>
        </w:rPr>
        <w:t>completed</w:t>
      </w:r>
      <w:r>
        <w:rPr>
          <w:rFonts w:hint="eastAsia"/>
          <w:szCs w:val="20"/>
          <w:lang w:eastAsia="ja-JP"/>
        </w:rPr>
        <w:t>.</w:t>
      </w:r>
    </w:p>
    <w:p w14:paraId="3822ED3F" w14:textId="28C39DB8" w:rsidR="004F4255" w:rsidRPr="009C46D3" w:rsidRDefault="004F4255" w:rsidP="00B51C35">
      <w:pPr>
        <w:pStyle w:val="RAN4proposal"/>
        <w:rPr>
          <w:lang w:val="en-US" w:eastAsia="ja-JP"/>
        </w:rPr>
      </w:pPr>
      <w:bookmarkStart w:id="11" w:name="_Toc174143303"/>
      <w:r>
        <w:rPr>
          <w:rFonts w:hint="eastAsia"/>
          <w:lang w:val="en-US" w:eastAsia="ja-JP"/>
        </w:rPr>
        <w:t>It is for further discussion whether we nail down SCS options for Ku band</w:t>
      </w:r>
      <w:r w:rsidR="004D5EF2">
        <w:rPr>
          <w:rFonts w:hint="eastAsia"/>
          <w:lang w:val="en-US" w:eastAsia="ja-JP"/>
        </w:rPr>
        <w:t>s</w:t>
      </w:r>
      <w:r>
        <w:rPr>
          <w:rFonts w:hint="eastAsia"/>
          <w:lang w:val="en-US" w:eastAsia="ja-JP"/>
        </w:rPr>
        <w:t>.</w:t>
      </w:r>
      <w:bookmarkEnd w:id="11"/>
    </w:p>
    <w:p w14:paraId="3226B247" w14:textId="08EA913C" w:rsidR="003E544C" w:rsidRDefault="003E544C" w:rsidP="009A419B">
      <w:pPr>
        <w:pStyle w:val="RAN4H2"/>
      </w:pPr>
      <w:r>
        <w:rPr>
          <w:rFonts w:hint="eastAsia"/>
        </w:rPr>
        <w:t>Channel raster</w:t>
      </w:r>
    </w:p>
    <w:p w14:paraId="3C04A92B" w14:textId="527F524F" w:rsidR="009C46D3" w:rsidRPr="003E544C" w:rsidRDefault="003E544C" w:rsidP="009C46D3">
      <w:pPr>
        <w:rPr>
          <w:lang w:val="en-US" w:eastAsia="ja-JP"/>
        </w:rPr>
      </w:pPr>
      <w:r>
        <w:rPr>
          <w:rFonts w:hint="eastAsia"/>
          <w:lang w:val="en-US" w:eastAsia="ja-JP"/>
        </w:rPr>
        <w:t>NR-ARFCN defined in TS 38.101-5 can be reused to Ku ban</w:t>
      </w:r>
      <w:r w:rsidR="009C46D3">
        <w:rPr>
          <w:rFonts w:hint="eastAsia"/>
          <w:lang w:val="en-US" w:eastAsia="ja-JP"/>
        </w:rPr>
        <w:t xml:space="preserve">d regardless of FR1 </w:t>
      </w:r>
      <w:r w:rsidR="005B3FB1">
        <w:rPr>
          <w:rFonts w:hint="eastAsia"/>
          <w:lang w:val="en-US" w:eastAsia="ja-JP"/>
        </w:rPr>
        <w:t>and</w:t>
      </w:r>
      <w:r w:rsidR="009C46D3">
        <w:rPr>
          <w:rFonts w:hint="eastAsia"/>
          <w:lang w:val="en-US" w:eastAsia="ja-JP"/>
        </w:rPr>
        <w:t xml:space="preserve"> FR2 option</w:t>
      </w:r>
      <w:r w:rsidR="005B3FB1">
        <w:rPr>
          <w:rFonts w:hint="eastAsia"/>
          <w:lang w:val="en-US" w:eastAsia="ja-JP"/>
        </w:rPr>
        <w:t>s mentioned above</w:t>
      </w:r>
      <w:r w:rsidR="009C46D3">
        <w:rPr>
          <w:rFonts w:hint="eastAsia"/>
          <w:lang w:val="en-US" w:eastAsia="ja-JP"/>
        </w:rPr>
        <w:t xml:space="preserve">. For the frequency range of Ku band, the step size of NR-ARFCN is 15 kHz. We propose to assume SCS based channel raster, i.e., 30 kHz for the FR1 option </w:t>
      </w:r>
      <w:r w:rsidR="004F4255">
        <w:rPr>
          <w:rFonts w:hint="eastAsia"/>
          <w:lang w:val="en-US" w:eastAsia="ja-JP"/>
        </w:rPr>
        <w:t>(if 15 and 60 kHz SCS are excluded)</w:t>
      </w:r>
      <w:r w:rsidR="005B3FB1">
        <w:rPr>
          <w:rFonts w:hint="eastAsia"/>
          <w:lang w:val="en-US" w:eastAsia="ja-JP"/>
        </w:rPr>
        <w:t xml:space="preserve"> and</w:t>
      </w:r>
      <w:r w:rsidR="009C46D3">
        <w:rPr>
          <w:rFonts w:hint="eastAsia"/>
          <w:lang w:val="en-US" w:eastAsia="ja-JP"/>
        </w:rPr>
        <w:t xml:space="preserve"> </w:t>
      </w:r>
      <w:r w:rsidR="004F4255">
        <w:rPr>
          <w:rFonts w:hint="eastAsia"/>
          <w:lang w:val="en-US" w:eastAsia="ja-JP"/>
        </w:rPr>
        <w:t>60</w:t>
      </w:r>
      <w:r w:rsidR="009C46D3">
        <w:rPr>
          <w:rFonts w:hint="eastAsia"/>
          <w:lang w:val="en-US" w:eastAsia="ja-JP"/>
        </w:rPr>
        <w:t xml:space="preserve"> kHz for the FR2 option.</w:t>
      </w:r>
    </w:p>
    <w:p w14:paraId="1706404A" w14:textId="7E92A703" w:rsidR="009C46D3" w:rsidRPr="009C46D3" w:rsidRDefault="009C46D3" w:rsidP="00B51C35">
      <w:pPr>
        <w:pStyle w:val="RAN4proposal"/>
        <w:rPr>
          <w:lang w:val="en-US" w:eastAsia="ja-JP"/>
        </w:rPr>
      </w:pPr>
      <w:bookmarkStart w:id="12" w:name="_Toc174143304"/>
      <w:r>
        <w:rPr>
          <w:rFonts w:hint="eastAsia"/>
          <w:lang w:val="en-US" w:eastAsia="ja-JP"/>
        </w:rPr>
        <w:t xml:space="preserve">SCS </w:t>
      </w:r>
      <w:r>
        <w:rPr>
          <w:lang w:val="en-US" w:eastAsia="ja-JP"/>
        </w:rPr>
        <w:t>based</w:t>
      </w:r>
      <w:r>
        <w:rPr>
          <w:rFonts w:hint="eastAsia"/>
          <w:lang w:val="en-US" w:eastAsia="ja-JP"/>
        </w:rPr>
        <w:t xml:space="preserve"> channel raster is </w:t>
      </w:r>
      <w:r>
        <w:rPr>
          <w:lang w:val="en-US" w:eastAsia="ja-JP"/>
        </w:rPr>
        <w:t>introduced</w:t>
      </w:r>
      <w:r>
        <w:rPr>
          <w:rFonts w:hint="eastAsia"/>
          <w:lang w:val="en-US" w:eastAsia="ja-JP"/>
        </w:rPr>
        <w:t xml:space="preserve"> to Ku band</w:t>
      </w:r>
      <w:r w:rsidR="004D5EF2">
        <w:rPr>
          <w:rFonts w:hint="eastAsia"/>
          <w:lang w:val="en-US" w:eastAsia="ja-JP"/>
        </w:rPr>
        <w:t>s</w:t>
      </w:r>
      <w:r>
        <w:rPr>
          <w:rFonts w:hint="eastAsia"/>
          <w:lang w:val="en-US" w:eastAsia="ja-JP"/>
        </w:rPr>
        <w:t>.</w:t>
      </w:r>
      <w:bookmarkEnd w:id="12"/>
    </w:p>
    <w:p w14:paraId="67587E61" w14:textId="2A4718D7" w:rsidR="006018C0" w:rsidRPr="0061508D" w:rsidRDefault="006018C0" w:rsidP="009A419B">
      <w:pPr>
        <w:pStyle w:val="RAN4H2"/>
      </w:pPr>
      <w:r>
        <w:rPr>
          <w:rFonts w:hint="eastAsia"/>
        </w:rPr>
        <w:t>Tx-Rx Separation</w:t>
      </w:r>
    </w:p>
    <w:p w14:paraId="440EC997" w14:textId="1A746B91" w:rsidR="006018C0" w:rsidRDefault="003E544C" w:rsidP="0061508D">
      <w:pPr>
        <w:rPr>
          <w:lang w:val="en-US" w:eastAsia="ja-JP"/>
        </w:rPr>
      </w:pPr>
      <w:r>
        <w:rPr>
          <w:rFonts w:hint="eastAsia"/>
          <w:lang w:val="en-US" w:eastAsia="ja-JP"/>
        </w:rPr>
        <w:t>For all four band plans #1a, #1b, #2a and #3b above, there is no clear guideline about their channelization scheme</w:t>
      </w:r>
      <w:r w:rsidR="004D5EF2">
        <w:rPr>
          <w:rFonts w:hint="eastAsia"/>
          <w:lang w:val="en-US" w:eastAsia="ja-JP"/>
        </w:rPr>
        <w:t>s</w:t>
      </w:r>
      <w:r>
        <w:rPr>
          <w:rFonts w:hint="eastAsia"/>
          <w:lang w:val="en-US" w:eastAsia="ja-JP"/>
        </w:rPr>
        <w:t xml:space="preserve"> and </w:t>
      </w:r>
      <w:r>
        <w:rPr>
          <w:lang w:val="en-US" w:eastAsia="ja-JP"/>
        </w:rPr>
        <w:t>channel</w:t>
      </w:r>
      <w:r>
        <w:rPr>
          <w:rFonts w:hint="eastAsia"/>
          <w:lang w:val="en-US" w:eastAsia="ja-JP"/>
        </w:rPr>
        <w:t xml:space="preserve"> pa</w:t>
      </w:r>
      <w:r w:rsidR="004D5EF2">
        <w:rPr>
          <w:rFonts w:hint="eastAsia"/>
          <w:lang w:val="en-US" w:eastAsia="ja-JP"/>
        </w:rPr>
        <w:t>i</w:t>
      </w:r>
      <w:r>
        <w:rPr>
          <w:rFonts w:hint="eastAsia"/>
          <w:lang w:val="en-US" w:eastAsia="ja-JP"/>
        </w:rPr>
        <w:t>ring of UL and DL like existing FR2-NTN bands. At this moment, it is not possible to define the fixed channelization and fixed duplex</w:t>
      </w:r>
      <w:r w:rsidR="004D5EF2">
        <w:rPr>
          <w:rFonts w:hint="eastAsia"/>
          <w:lang w:val="en-US" w:eastAsia="ja-JP"/>
        </w:rPr>
        <w:t xml:space="preserve"> separation</w:t>
      </w:r>
      <w:r>
        <w:rPr>
          <w:rFonts w:hint="eastAsia"/>
          <w:lang w:val="en-US" w:eastAsia="ja-JP"/>
        </w:rPr>
        <w:t>. T</w:t>
      </w:r>
      <w:r>
        <w:rPr>
          <w:lang w:val="en-US" w:eastAsia="ja-JP"/>
        </w:rPr>
        <w:t>herefore</w:t>
      </w:r>
      <w:r>
        <w:rPr>
          <w:rFonts w:hint="eastAsia"/>
          <w:lang w:val="en-US" w:eastAsia="ja-JP"/>
        </w:rPr>
        <w:t>, flexible duplex may be an only option</w:t>
      </w:r>
      <w:r w:rsidR="004D5EF2">
        <w:rPr>
          <w:rFonts w:hint="eastAsia"/>
          <w:lang w:val="en-US" w:eastAsia="ja-JP"/>
        </w:rPr>
        <w:t xml:space="preserve"> for now</w:t>
      </w:r>
      <w:r>
        <w:rPr>
          <w:rFonts w:hint="eastAsia"/>
          <w:lang w:val="en-US" w:eastAsia="ja-JP"/>
        </w:rPr>
        <w:t>.</w:t>
      </w:r>
    </w:p>
    <w:p w14:paraId="474D540E" w14:textId="26D4C351" w:rsidR="003E544C" w:rsidRPr="00931197" w:rsidRDefault="003E544C" w:rsidP="00B51C35">
      <w:pPr>
        <w:pStyle w:val="RAN4proposal"/>
        <w:rPr>
          <w:lang w:val="en-US" w:eastAsia="ja-JP"/>
        </w:rPr>
      </w:pPr>
      <w:bookmarkStart w:id="13" w:name="_Toc174143305"/>
      <w:r w:rsidRPr="003E544C">
        <w:rPr>
          <w:lang w:val="en-US" w:eastAsia="ja-JP"/>
        </w:rPr>
        <w:t>Flexible Tx-Rx frequency separation can be used for K</w:t>
      </w:r>
      <w:r>
        <w:rPr>
          <w:rFonts w:hint="eastAsia"/>
          <w:lang w:val="en-US" w:eastAsia="ja-JP"/>
        </w:rPr>
        <w:t>u</w:t>
      </w:r>
      <w:r w:rsidRPr="003E544C">
        <w:rPr>
          <w:lang w:val="en-US" w:eastAsia="ja-JP"/>
        </w:rPr>
        <w:t xml:space="preserve"> band NTN FDD operation.</w:t>
      </w:r>
      <w:bookmarkEnd w:id="13"/>
    </w:p>
    <w:p w14:paraId="7E3E1A6B" w14:textId="5B1F8131" w:rsidR="005B3FB1" w:rsidRPr="0061508D" w:rsidRDefault="005B3FB1" w:rsidP="009A419B">
      <w:pPr>
        <w:pStyle w:val="RAN4H2"/>
      </w:pPr>
      <w:r>
        <w:rPr>
          <w:rFonts w:hint="eastAsia"/>
        </w:rPr>
        <w:t>Sync raster</w:t>
      </w:r>
    </w:p>
    <w:p w14:paraId="14AC0D89" w14:textId="7F02C844" w:rsidR="009B5CF8" w:rsidRPr="00BE54A6" w:rsidRDefault="005B3FB1" w:rsidP="0061508D">
      <w:pPr>
        <w:rPr>
          <w:lang w:val="en-US" w:eastAsia="ja-JP"/>
        </w:rPr>
      </w:pPr>
      <w:r>
        <w:rPr>
          <w:rFonts w:hint="eastAsia"/>
          <w:lang w:val="en-US" w:eastAsia="ja-JP"/>
        </w:rPr>
        <w:t xml:space="preserve">Current sync raster design in TS 38.101-5 above 3 GHz can support </w:t>
      </w:r>
      <w:r w:rsidR="00BE54A6">
        <w:rPr>
          <w:rFonts w:hint="eastAsia"/>
          <w:lang w:val="en-US" w:eastAsia="ja-JP"/>
        </w:rPr>
        <w:t xml:space="preserve">minimum channel bandwidth at any SCS-based channel </w:t>
      </w:r>
      <w:r w:rsidR="00BE54A6">
        <w:rPr>
          <w:lang w:val="en-US" w:eastAsia="ja-JP"/>
        </w:rPr>
        <w:t>raster</w:t>
      </w:r>
      <w:r w:rsidR="00BE54A6">
        <w:rPr>
          <w:rFonts w:hint="eastAsia"/>
          <w:lang w:val="en-US" w:eastAsia="ja-JP"/>
        </w:rPr>
        <w:t xml:space="preserve"> </w:t>
      </w:r>
      <w:r w:rsidR="00BE54A6">
        <w:rPr>
          <w:lang w:val="en-US" w:eastAsia="ja-JP"/>
        </w:rPr>
        <w:t>frequency</w:t>
      </w:r>
      <w:r w:rsidR="00BE54A6">
        <w:rPr>
          <w:rFonts w:hint="eastAsia"/>
          <w:lang w:val="en-US" w:eastAsia="ja-JP"/>
        </w:rPr>
        <w:t>.</w:t>
      </w:r>
      <w:r w:rsidR="004D5EF2">
        <w:rPr>
          <w:rFonts w:hint="eastAsia"/>
          <w:lang w:val="en-US" w:eastAsia="ja-JP"/>
        </w:rPr>
        <w:t xml:space="preserve"> The </w:t>
      </w:r>
      <w:r w:rsidR="004D5EF2">
        <w:rPr>
          <w:lang w:val="en-US" w:eastAsia="ja-JP"/>
        </w:rPr>
        <w:t>existing</w:t>
      </w:r>
      <w:r w:rsidR="004D5EF2">
        <w:rPr>
          <w:rFonts w:hint="eastAsia"/>
          <w:lang w:val="en-US" w:eastAsia="ja-JP"/>
        </w:rPr>
        <w:t xml:space="preserve"> sync raster design can be reused for Ku bands.</w:t>
      </w:r>
    </w:p>
    <w:p w14:paraId="2A80CBA1" w14:textId="77EA7555" w:rsidR="00BE54A6" w:rsidRPr="00931197" w:rsidRDefault="00BE54A6" w:rsidP="00B51C35">
      <w:pPr>
        <w:pStyle w:val="RAN4proposal"/>
        <w:rPr>
          <w:lang w:val="en-US" w:eastAsia="ja-JP"/>
        </w:rPr>
      </w:pPr>
      <w:bookmarkStart w:id="14" w:name="_Toc174143306"/>
      <w:r>
        <w:rPr>
          <w:rFonts w:hint="eastAsia"/>
          <w:lang w:val="en-US" w:eastAsia="ja-JP"/>
        </w:rPr>
        <w:t>The existing sync raster design is reused for Ku band</w:t>
      </w:r>
      <w:r w:rsidR="004D5EF2">
        <w:rPr>
          <w:rFonts w:hint="eastAsia"/>
          <w:lang w:val="en-US" w:eastAsia="ja-JP"/>
        </w:rPr>
        <w:t>s</w:t>
      </w:r>
      <w:r>
        <w:rPr>
          <w:rFonts w:hint="eastAsia"/>
          <w:lang w:val="en-US" w:eastAsia="ja-JP"/>
        </w:rPr>
        <w:t>.</w:t>
      </w:r>
      <w:bookmarkEnd w:id="14"/>
    </w:p>
    <w:p w14:paraId="21E764ED" w14:textId="5FEF8104" w:rsidR="005B3FB1" w:rsidRPr="0061508D" w:rsidRDefault="005B3FB1" w:rsidP="0061508D">
      <w:pPr>
        <w:rPr>
          <w:lang w:val="en-US" w:eastAsia="ja-JP"/>
        </w:rPr>
      </w:pPr>
    </w:p>
    <w:p w14:paraId="31F7231A" w14:textId="77777777" w:rsidR="00CD7492" w:rsidRPr="00614DD8" w:rsidRDefault="00CD7492" w:rsidP="00A37002">
      <w:pPr>
        <w:pStyle w:val="RAN4H1"/>
        <w:rPr>
          <w:lang w:val="en-US"/>
        </w:rPr>
      </w:pPr>
      <w:bookmarkStart w:id="15" w:name="_Toc116995848"/>
      <w:r w:rsidRPr="00614DD8">
        <w:rPr>
          <w:lang w:val="en-US"/>
        </w:rPr>
        <w:t>Conclusion</w:t>
      </w:r>
      <w:bookmarkEnd w:id="15"/>
    </w:p>
    <w:p w14:paraId="36AA737D" w14:textId="49A2BDA4" w:rsidR="00B51C35" w:rsidRPr="00614DD8" w:rsidRDefault="00381F95" w:rsidP="00B51C35">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B51C35" w:rsidRPr="48EB6057">
        <w:rPr>
          <w:lang w:val="en-US"/>
        </w:rPr>
        <w:t>:</w:t>
      </w:r>
    </w:p>
    <w:p w14:paraId="236F5161" w14:textId="506C615E" w:rsidR="0059689C" w:rsidRDefault="00B51C35">
      <w:pPr>
        <w:pStyle w:val="TOC4"/>
        <w:tabs>
          <w:tab w:val="right" w:leader="dot" w:pos="9617"/>
        </w:tabs>
        <w:rPr>
          <w:rFonts w:asciiTheme="minorHAnsi" w:eastAsiaTheme="minorEastAsia" w:hAnsiTheme="minorHAnsi"/>
          <w:noProof/>
          <w:kern w:val="2"/>
          <w:sz w:val="24"/>
          <w:szCs w:val="24"/>
          <w:lang w:val="en-US" w:eastAsia="ja-JP"/>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74143299" w:history="1">
        <w:r w:rsidR="0059689C" w:rsidRPr="005A2C75">
          <w:rPr>
            <w:rStyle w:val="Hyperlink"/>
            <w:b/>
            <w:bCs/>
            <w:noProof/>
            <w:lang w:val="en-US" w:eastAsia="ja-JP"/>
          </w:rPr>
          <w:t>Observation 1: The Ku Band is not within any of the existing frequency ranges.</w:t>
        </w:r>
      </w:hyperlink>
    </w:p>
    <w:p w14:paraId="0091C5AB" w14:textId="7C27AC33" w:rsidR="0059689C" w:rsidRDefault="0059689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4143300" w:history="1">
        <w:r w:rsidRPr="005A2C75">
          <w:rPr>
            <w:rStyle w:val="Hyperlink"/>
            <w:noProof/>
            <w:lang w:val="en-US" w:eastAsia="ja-JP"/>
          </w:rPr>
          <w:t>Proposal 1: It is proposed to further discuss whether we define a new frequency range covering Ku band(s) or extend the existing frequency range (either FR1-NTN or FR2-NTN) to cover Ku bands.</w:t>
        </w:r>
      </w:hyperlink>
    </w:p>
    <w:p w14:paraId="7358D2E9" w14:textId="18765676" w:rsidR="0059689C" w:rsidRDefault="0059689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4143301" w:history="1">
        <w:r w:rsidRPr="005A2C75">
          <w:rPr>
            <w:rStyle w:val="Hyperlink"/>
            <w:noProof/>
            <w:lang w:val="en-US" w:eastAsia="ja-JP"/>
          </w:rPr>
          <w:t>Proposal 2: Any new or extended frequency range covering Ku band(s) can only be reflected in</w:t>
        </w:r>
        <w:r w:rsidRPr="005A2C75">
          <w:rPr>
            <w:rStyle w:val="Hyperlink"/>
            <w:noProof/>
          </w:rPr>
          <w:t xml:space="preserve"> </w:t>
        </w:r>
        <w:r w:rsidRPr="005A2C75">
          <w:rPr>
            <w:rStyle w:val="Hyperlink"/>
            <w:noProof/>
            <w:lang w:val="en-US" w:eastAsia="ja-JP"/>
          </w:rPr>
          <w:t>TS 38.101-5 and TS 38.108.</w:t>
        </w:r>
      </w:hyperlink>
    </w:p>
    <w:p w14:paraId="31A031C7" w14:textId="3852D0E3" w:rsidR="0059689C" w:rsidRDefault="0059689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4143302" w:history="1">
        <w:r w:rsidRPr="005A2C75">
          <w:rPr>
            <w:rStyle w:val="Hyperlink"/>
            <w:noProof/>
            <w:lang w:val="en-US" w:eastAsia="ja-JP"/>
          </w:rPr>
          <w:t>Proposal 3: We wait for the agreement on frequency range issue before agreeing to band numbers.</w:t>
        </w:r>
      </w:hyperlink>
    </w:p>
    <w:p w14:paraId="69A26B58" w14:textId="79BA39C2" w:rsidR="0059689C" w:rsidRDefault="0059689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4143303" w:history="1">
        <w:r w:rsidRPr="005A2C75">
          <w:rPr>
            <w:rStyle w:val="Hyperlink"/>
            <w:noProof/>
            <w:lang w:val="en-US" w:eastAsia="ja-JP"/>
          </w:rPr>
          <w:t>Proposal 4: It is for further discussion whether we nail down SCS options for Ku bands.</w:t>
        </w:r>
      </w:hyperlink>
    </w:p>
    <w:p w14:paraId="16FCF6D2" w14:textId="4E8C8E33" w:rsidR="0059689C" w:rsidRDefault="0059689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4143304" w:history="1">
        <w:r w:rsidRPr="005A2C75">
          <w:rPr>
            <w:rStyle w:val="Hyperlink"/>
            <w:noProof/>
            <w:lang w:val="en-US" w:eastAsia="ja-JP"/>
          </w:rPr>
          <w:t>Proposal 5: SCS based channel raster is introduced to Ku bands.</w:t>
        </w:r>
      </w:hyperlink>
    </w:p>
    <w:p w14:paraId="0195A6B1" w14:textId="62DC0481" w:rsidR="0059689C" w:rsidRDefault="0059689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4143305" w:history="1">
        <w:r w:rsidRPr="005A2C75">
          <w:rPr>
            <w:rStyle w:val="Hyperlink"/>
            <w:noProof/>
            <w:lang w:val="en-US" w:eastAsia="ja-JP"/>
          </w:rPr>
          <w:t>Proposal 6: Flexible Tx-Rx frequency separation can be used for Ku band NTN FDD operation.</w:t>
        </w:r>
      </w:hyperlink>
    </w:p>
    <w:p w14:paraId="652883F4" w14:textId="48485A8A" w:rsidR="0059689C" w:rsidRDefault="0059689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4143306" w:history="1">
        <w:r w:rsidRPr="005A2C75">
          <w:rPr>
            <w:rStyle w:val="Hyperlink"/>
            <w:noProof/>
            <w:lang w:val="en-US" w:eastAsia="ja-JP"/>
          </w:rPr>
          <w:t>Proposal 7: The existing sync raster design is reused for Ku bands.</w:t>
        </w:r>
      </w:hyperlink>
    </w:p>
    <w:p w14:paraId="71BCE1E3" w14:textId="5E5B158F" w:rsidR="00847264" w:rsidRPr="00614DD8" w:rsidRDefault="00B51C35" w:rsidP="008C39F7">
      <w:pPr>
        <w:rPr>
          <w:lang w:val="en-US"/>
        </w:rPr>
      </w:pPr>
      <w:r w:rsidRPr="00614DD8">
        <w:rPr>
          <w:lang w:val="en-US"/>
        </w:rPr>
        <w:fldChar w:fldCharType="end"/>
      </w:r>
      <w:bookmarkStart w:id="16" w:name="_Toc116995849"/>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6"/>
    </w:p>
    <w:p w14:paraId="73EE0639" w14:textId="16328761" w:rsidR="00D9052A" w:rsidRDefault="00D9052A" w:rsidP="00D9052A">
      <w:pPr>
        <w:pStyle w:val="ListParagraph"/>
        <w:numPr>
          <w:ilvl w:val="0"/>
          <w:numId w:val="21"/>
        </w:numPr>
        <w:ind w:right="-22"/>
        <w:rPr>
          <w:lang w:val="en-US"/>
        </w:rPr>
      </w:pPr>
      <w:bookmarkStart w:id="17" w:name="_Ref114500673"/>
      <w:bookmarkStart w:id="18" w:name="_Ref165543298"/>
      <w:bookmarkEnd w:id="17"/>
      <w:r w:rsidRPr="00614DD8">
        <w:rPr>
          <w:lang w:val="en-US"/>
        </w:rPr>
        <w:t>R</w:t>
      </w:r>
      <w:r>
        <w:rPr>
          <w:lang w:val="en-US"/>
        </w:rPr>
        <w:t>P</w:t>
      </w:r>
      <w:r w:rsidRPr="00614DD8">
        <w:rPr>
          <w:lang w:val="en-US"/>
        </w:rPr>
        <w:t>-</w:t>
      </w:r>
      <w:r>
        <w:rPr>
          <w:lang w:val="en-US"/>
        </w:rPr>
        <w:t>24</w:t>
      </w:r>
      <w:r w:rsidR="00BD3615">
        <w:rPr>
          <w:lang w:val="en-US"/>
        </w:rPr>
        <w:t>1690,</w:t>
      </w:r>
      <w:r w:rsidRPr="00614DD8">
        <w:rPr>
          <w:lang w:val="en-US"/>
        </w:rPr>
        <w:t xml:space="preserve"> </w:t>
      </w:r>
      <w:r w:rsidR="00BD3615" w:rsidRPr="00BD3615">
        <w:rPr>
          <w:lang w:val="en-US"/>
        </w:rPr>
        <w:t>New WID on Introduction of Ku Band for NR NTN</w:t>
      </w:r>
      <w:r w:rsidRPr="00614DD8">
        <w:rPr>
          <w:lang w:val="en-US"/>
        </w:rPr>
        <w:t>, RAN#10</w:t>
      </w:r>
      <w:r w:rsidR="00BD3615">
        <w:rPr>
          <w:lang w:val="en-US"/>
        </w:rPr>
        <w:t>4</w:t>
      </w:r>
      <w:r w:rsidRPr="00614DD8">
        <w:rPr>
          <w:lang w:val="en-US"/>
        </w:rPr>
        <w:t xml:space="preserve">, </w:t>
      </w:r>
      <w:r w:rsidR="00BD3615">
        <w:rPr>
          <w:lang w:val="en-US"/>
        </w:rPr>
        <w:t>Shanghai</w:t>
      </w:r>
      <w:r w:rsidRPr="00614DD8">
        <w:rPr>
          <w:lang w:val="en-US"/>
        </w:rPr>
        <w:t xml:space="preserve">, </w:t>
      </w:r>
      <w:r w:rsidR="00BD3615">
        <w:rPr>
          <w:lang w:val="en-US"/>
        </w:rPr>
        <w:t>China</w:t>
      </w:r>
      <w:r w:rsidRPr="00614DD8">
        <w:rPr>
          <w:lang w:val="en-US"/>
        </w:rPr>
        <w:t xml:space="preserve">, </w:t>
      </w:r>
      <w:r>
        <w:rPr>
          <w:lang w:val="en-US"/>
        </w:rPr>
        <w:t>1</w:t>
      </w:r>
      <w:r w:rsidR="00BD3615">
        <w:rPr>
          <w:lang w:val="en-US"/>
        </w:rPr>
        <w:t>7</w:t>
      </w:r>
      <w:r w:rsidRPr="00614DD8">
        <w:rPr>
          <w:lang w:val="en-US"/>
        </w:rPr>
        <w:t xml:space="preserve"> – 2</w:t>
      </w:r>
      <w:r w:rsidR="00BD3615">
        <w:rPr>
          <w:lang w:val="en-US"/>
        </w:rPr>
        <w:t>0</w:t>
      </w:r>
      <w:r w:rsidRPr="00614DD8">
        <w:rPr>
          <w:lang w:val="en-US"/>
        </w:rPr>
        <w:t xml:space="preserve"> </w:t>
      </w:r>
      <w:r w:rsidR="00BD3615">
        <w:rPr>
          <w:lang w:val="en-US"/>
        </w:rPr>
        <w:t>June</w:t>
      </w:r>
      <w:r w:rsidRPr="00614DD8">
        <w:rPr>
          <w:lang w:val="en-US"/>
        </w:rPr>
        <w:t xml:space="preserve"> 202</w:t>
      </w:r>
      <w:r w:rsidR="00BD3615">
        <w:rPr>
          <w:lang w:val="en-US"/>
        </w:rPr>
        <w:t>4</w:t>
      </w:r>
      <w:r w:rsidRPr="00614DD8">
        <w:rPr>
          <w:lang w:val="en-US"/>
        </w:rPr>
        <w:t>.</w:t>
      </w:r>
    </w:p>
    <w:p w14:paraId="0D71AE20" w14:textId="39F74AC9" w:rsidR="00D9052A" w:rsidRPr="00071CAC" w:rsidRDefault="00071CAC" w:rsidP="00BD13AD">
      <w:pPr>
        <w:pStyle w:val="ListParagraph"/>
        <w:numPr>
          <w:ilvl w:val="0"/>
          <w:numId w:val="21"/>
        </w:numPr>
        <w:spacing w:line="256" w:lineRule="auto"/>
        <w:ind w:right="-22"/>
        <w:rPr>
          <w:lang w:val="en-US"/>
        </w:rPr>
      </w:pPr>
      <w:bookmarkStart w:id="19" w:name="_Ref166227081"/>
      <w:r w:rsidRPr="00071CAC">
        <w:rPr>
          <w:lang w:val="en-US"/>
        </w:rPr>
        <w:t>TR 38.863</w:t>
      </w:r>
      <w:r w:rsidR="00D9052A" w:rsidRPr="00071CAC">
        <w:rPr>
          <w:lang w:val="en-US"/>
        </w:rPr>
        <w:t xml:space="preserve">, </w:t>
      </w:r>
      <w:r w:rsidRPr="00071CAC">
        <w:rPr>
          <w:lang w:val="en-US"/>
        </w:rPr>
        <w:t>Solutions for NR to support non-terrestrial networks (NTN):</w:t>
      </w:r>
      <w:r>
        <w:rPr>
          <w:lang w:val="en-US"/>
        </w:rPr>
        <w:t xml:space="preserve"> </w:t>
      </w:r>
      <w:r w:rsidRPr="00071CAC">
        <w:rPr>
          <w:lang w:val="en-US"/>
        </w:rPr>
        <w:t>Non-terrestrial networks (NTN) related RF and co-existence aspects</w:t>
      </w:r>
      <w:r w:rsidR="00D9052A" w:rsidRPr="00071CAC">
        <w:rPr>
          <w:lang w:val="en-US"/>
        </w:rPr>
        <w:t>.</w:t>
      </w:r>
      <w:bookmarkEnd w:id="18"/>
      <w:bookmarkEnd w:id="19"/>
    </w:p>
    <w:sectPr w:rsidR="00D9052A" w:rsidRPr="00071CA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1FA8E1" w14:textId="77777777" w:rsidR="002617A4" w:rsidRDefault="002617A4" w:rsidP="00001C9B">
      <w:pPr>
        <w:spacing w:after="0" w:line="240" w:lineRule="auto"/>
      </w:pPr>
      <w:r>
        <w:separator/>
      </w:r>
    </w:p>
  </w:endnote>
  <w:endnote w:type="continuationSeparator" w:id="0">
    <w:p w14:paraId="28F71525" w14:textId="77777777" w:rsidR="002617A4" w:rsidRDefault="002617A4" w:rsidP="00001C9B">
      <w:pPr>
        <w:spacing w:after="0" w:line="240" w:lineRule="auto"/>
      </w:pPr>
      <w:r>
        <w:continuationSeparator/>
      </w:r>
    </w:p>
  </w:endnote>
  <w:endnote w:type="continuationNotice" w:id="1">
    <w:p w14:paraId="6895C8BC" w14:textId="77777777" w:rsidR="002617A4" w:rsidRDefault="002617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ABFD85" w14:textId="77777777" w:rsidR="002617A4" w:rsidRDefault="002617A4" w:rsidP="00001C9B">
      <w:pPr>
        <w:spacing w:after="0" w:line="240" w:lineRule="auto"/>
      </w:pPr>
      <w:r>
        <w:separator/>
      </w:r>
    </w:p>
  </w:footnote>
  <w:footnote w:type="continuationSeparator" w:id="0">
    <w:p w14:paraId="47D4B058" w14:textId="77777777" w:rsidR="002617A4" w:rsidRDefault="002617A4" w:rsidP="00001C9B">
      <w:pPr>
        <w:spacing w:after="0" w:line="240" w:lineRule="auto"/>
      </w:pPr>
      <w:r>
        <w:continuationSeparator/>
      </w:r>
    </w:p>
  </w:footnote>
  <w:footnote w:type="continuationNotice" w:id="1">
    <w:p w14:paraId="0C3E9360" w14:textId="77777777" w:rsidR="002617A4" w:rsidRDefault="002617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29121C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240AF2"/>
    <w:multiLevelType w:val="hybridMultilevel"/>
    <w:tmpl w:val="1180A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3"/>
  </w:num>
  <w:num w:numId="4" w16cid:durableId="517735681">
    <w:abstractNumId w:val="6"/>
  </w:num>
  <w:num w:numId="5" w16cid:durableId="1142041724">
    <w:abstractNumId w:val="18"/>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20"/>
  </w:num>
  <w:num w:numId="16" w16cid:durableId="516113510">
    <w:abstractNumId w:val="5"/>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841003140">
    <w:abstractNumId w:val="14"/>
  </w:num>
  <w:num w:numId="28" w16cid:durableId="411775096">
    <w:abstractNumId w:val="19"/>
  </w:num>
  <w:num w:numId="29" w16cid:durableId="1049035517">
    <w:abstractNumId w:val="8"/>
  </w:num>
  <w:num w:numId="30" w16cid:durableId="1508253574">
    <w:abstractNumId w:val="9"/>
  </w:num>
  <w:num w:numId="31" w16cid:durableId="1061832381">
    <w:abstractNumId w:val="17"/>
  </w:num>
  <w:num w:numId="32" w16cid:durableId="81419477">
    <w:abstractNumId w:val="3"/>
    <w:lvlOverride w:ilvl="0"/>
    <w:lvlOverride w:ilvl="1"/>
    <w:lvlOverride w:ilvl="2">
      <w:startOverride w:val="1"/>
    </w:lvlOverride>
    <w:lvlOverride w:ilvl="3"/>
    <w:lvlOverride w:ilvl="4"/>
    <w:lvlOverride w:ilvl="5"/>
    <w:lvlOverride w:ilvl="6"/>
    <w:lvlOverride w:ilvl="7"/>
    <w:lvlOverride w:ilvl="8"/>
  </w:num>
  <w:num w:numId="33" w16cid:durableId="1331329962">
    <w:abstractNumId w:val="21"/>
  </w:num>
  <w:num w:numId="34" w16cid:durableId="1737971265">
    <w:abstractNumId w:val="4"/>
  </w:num>
  <w:num w:numId="35" w16cid:durableId="1302882497">
    <w:abstractNumId w:val="16"/>
  </w:num>
  <w:num w:numId="36" w16cid:durableId="1430902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1EB5"/>
    <w:rsid w:val="000040DC"/>
    <w:rsid w:val="00005926"/>
    <w:rsid w:val="00011784"/>
    <w:rsid w:val="000151EF"/>
    <w:rsid w:val="000239F5"/>
    <w:rsid w:val="00030D12"/>
    <w:rsid w:val="00054B9B"/>
    <w:rsid w:val="00054F7C"/>
    <w:rsid w:val="00067893"/>
    <w:rsid w:val="00071CAC"/>
    <w:rsid w:val="00072CCA"/>
    <w:rsid w:val="000763AA"/>
    <w:rsid w:val="0008612A"/>
    <w:rsid w:val="00090E18"/>
    <w:rsid w:val="000A10BC"/>
    <w:rsid w:val="000A7F53"/>
    <w:rsid w:val="000B0056"/>
    <w:rsid w:val="000B6504"/>
    <w:rsid w:val="000C2E56"/>
    <w:rsid w:val="000C3C7B"/>
    <w:rsid w:val="000D0F93"/>
    <w:rsid w:val="0010107E"/>
    <w:rsid w:val="00106416"/>
    <w:rsid w:val="00110481"/>
    <w:rsid w:val="001127C9"/>
    <w:rsid w:val="00114498"/>
    <w:rsid w:val="00115B88"/>
    <w:rsid w:val="00125030"/>
    <w:rsid w:val="00132F6A"/>
    <w:rsid w:val="00133913"/>
    <w:rsid w:val="00140221"/>
    <w:rsid w:val="001519D8"/>
    <w:rsid w:val="001642FC"/>
    <w:rsid w:val="0016496B"/>
    <w:rsid w:val="001662FD"/>
    <w:rsid w:val="00172B3A"/>
    <w:rsid w:val="001743E2"/>
    <w:rsid w:val="001745F8"/>
    <w:rsid w:val="001838CF"/>
    <w:rsid w:val="001868EE"/>
    <w:rsid w:val="00193A5A"/>
    <w:rsid w:val="001A3BA4"/>
    <w:rsid w:val="001A6D1F"/>
    <w:rsid w:val="001A7C64"/>
    <w:rsid w:val="001B1EA8"/>
    <w:rsid w:val="001E30F6"/>
    <w:rsid w:val="00204AA4"/>
    <w:rsid w:val="00217EE5"/>
    <w:rsid w:val="00220DA0"/>
    <w:rsid w:val="00224EC1"/>
    <w:rsid w:val="00235F5C"/>
    <w:rsid w:val="00246218"/>
    <w:rsid w:val="00257FA3"/>
    <w:rsid w:val="002617A4"/>
    <w:rsid w:val="00277B56"/>
    <w:rsid w:val="00282A74"/>
    <w:rsid w:val="002849D4"/>
    <w:rsid w:val="002943ED"/>
    <w:rsid w:val="00296854"/>
    <w:rsid w:val="002A19F5"/>
    <w:rsid w:val="002B4922"/>
    <w:rsid w:val="002B69F3"/>
    <w:rsid w:val="002C22C3"/>
    <w:rsid w:val="002C2D19"/>
    <w:rsid w:val="002D10FA"/>
    <w:rsid w:val="002D4C55"/>
    <w:rsid w:val="002E6DED"/>
    <w:rsid w:val="003002EC"/>
    <w:rsid w:val="00300956"/>
    <w:rsid w:val="00312251"/>
    <w:rsid w:val="00317187"/>
    <w:rsid w:val="0032499A"/>
    <w:rsid w:val="00333BC7"/>
    <w:rsid w:val="003341F7"/>
    <w:rsid w:val="00347FEC"/>
    <w:rsid w:val="003509DF"/>
    <w:rsid w:val="00355F57"/>
    <w:rsid w:val="00356F45"/>
    <w:rsid w:val="00366B74"/>
    <w:rsid w:val="00381F95"/>
    <w:rsid w:val="003A6FD1"/>
    <w:rsid w:val="003A710A"/>
    <w:rsid w:val="003B0F84"/>
    <w:rsid w:val="003B659E"/>
    <w:rsid w:val="003B6C59"/>
    <w:rsid w:val="003C275E"/>
    <w:rsid w:val="003C4CDE"/>
    <w:rsid w:val="003C4FDE"/>
    <w:rsid w:val="003D44AF"/>
    <w:rsid w:val="003E544C"/>
    <w:rsid w:val="003E58DF"/>
    <w:rsid w:val="00404C4C"/>
    <w:rsid w:val="00412E2E"/>
    <w:rsid w:val="0041423F"/>
    <w:rsid w:val="00414F81"/>
    <w:rsid w:val="00416033"/>
    <w:rsid w:val="00436A0F"/>
    <w:rsid w:val="00437150"/>
    <w:rsid w:val="0043750A"/>
    <w:rsid w:val="004439ED"/>
    <w:rsid w:val="00447577"/>
    <w:rsid w:val="004732E9"/>
    <w:rsid w:val="004854BB"/>
    <w:rsid w:val="00494493"/>
    <w:rsid w:val="00496606"/>
    <w:rsid w:val="004A71D2"/>
    <w:rsid w:val="004C2F76"/>
    <w:rsid w:val="004D5EF2"/>
    <w:rsid w:val="004E5E66"/>
    <w:rsid w:val="004E7ADB"/>
    <w:rsid w:val="004F4255"/>
    <w:rsid w:val="00503B4D"/>
    <w:rsid w:val="00504EE9"/>
    <w:rsid w:val="00514E4F"/>
    <w:rsid w:val="005205D2"/>
    <w:rsid w:val="00521576"/>
    <w:rsid w:val="005250E6"/>
    <w:rsid w:val="0053213A"/>
    <w:rsid w:val="00542D23"/>
    <w:rsid w:val="0054442C"/>
    <w:rsid w:val="00550285"/>
    <w:rsid w:val="00562492"/>
    <w:rsid w:val="005701A9"/>
    <w:rsid w:val="00572A20"/>
    <w:rsid w:val="005836F8"/>
    <w:rsid w:val="005918FA"/>
    <w:rsid w:val="00592A86"/>
    <w:rsid w:val="0059689C"/>
    <w:rsid w:val="005B3029"/>
    <w:rsid w:val="005B3FB1"/>
    <w:rsid w:val="005B4801"/>
    <w:rsid w:val="005B5717"/>
    <w:rsid w:val="005B6B5C"/>
    <w:rsid w:val="005C23A4"/>
    <w:rsid w:val="005D1CDF"/>
    <w:rsid w:val="005D2BB7"/>
    <w:rsid w:val="005D6FFE"/>
    <w:rsid w:val="005E61A8"/>
    <w:rsid w:val="005F0BE5"/>
    <w:rsid w:val="005F16BD"/>
    <w:rsid w:val="005F2E16"/>
    <w:rsid w:val="005F444B"/>
    <w:rsid w:val="005F6419"/>
    <w:rsid w:val="005F6E02"/>
    <w:rsid w:val="006018C0"/>
    <w:rsid w:val="0060301D"/>
    <w:rsid w:val="006033FE"/>
    <w:rsid w:val="0060543D"/>
    <w:rsid w:val="006104DD"/>
    <w:rsid w:val="006130B5"/>
    <w:rsid w:val="00614DD8"/>
    <w:rsid w:val="0061508D"/>
    <w:rsid w:val="00617400"/>
    <w:rsid w:val="00632D29"/>
    <w:rsid w:val="0065710E"/>
    <w:rsid w:val="00664950"/>
    <w:rsid w:val="00683220"/>
    <w:rsid w:val="00687FA0"/>
    <w:rsid w:val="006A3C11"/>
    <w:rsid w:val="006B0C80"/>
    <w:rsid w:val="006B29A0"/>
    <w:rsid w:val="006B7010"/>
    <w:rsid w:val="006C3095"/>
    <w:rsid w:val="006E1151"/>
    <w:rsid w:val="006E23CF"/>
    <w:rsid w:val="006E368B"/>
    <w:rsid w:val="006E6311"/>
    <w:rsid w:val="007145FF"/>
    <w:rsid w:val="00715B2A"/>
    <w:rsid w:val="00722C07"/>
    <w:rsid w:val="00733B21"/>
    <w:rsid w:val="0073545A"/>
    <w:rsid w:val="007450F1"/>
    <w:rsid w:val="00751515"/>
    <w:rsid w:val="00755D32"/>
    <w:rsid w:val="007626B7"/>
    <w:rsid w:val="0078212B"/>
    <w:rsid w:val="00784DF6"/>
    <w:rsid w:val="00785232"/>
    <w:rsid w:val="007A56FE"/>
    <w:rsid w:val="007B186C"/>
    <w:rsid w:val="007C1696"/>
    <w:rsid w:val="007C3ED0"/>
    <w:rsid w:val="007C48C4"/>
    <w:rsid w:val="007C5971"/>
    <w:rsid w:val="007E42DC"/>
    <w:rsid w:val="007F54B9"/>
    <w:rsid w:val="00806A76"/>
    <w:rsid w:val="00811C9D"/>
    <w:rsid w:val="00816C80"/>
    <w:rsid w:val="0081797B"/>
    <w:rsid w:val="00840AD4"/>
    <w:rsid w:val="00841BCD"/>
    <w:rsid w:val="00846760"/>
    <w:rsid w:val="00847264"/>
    <w:rsid w:val="00847D71"/>
    <w:rsid w:val="00851A8E"/>
    <w:rsid w:val="0085365B"/>
    <w:rsid w:val="00880BA1"/>
    <w:rsid w:val="008826C1"/>
    <w:rsid w:val="00883DFD"/>
    <w:rsid w:val="0089210C"/>
    <w:rsid w:val="00893D2E"/>
    <w:rsid w:val="008A1BF7"/>
    <w:rsid w:val="008A5B0E"/>
    <w:rsid w:val="008B0961"/>
    <w:rsid w:val="008C39F7"/>
    <w:rsid w:val="008C7BCA"/>
    <w:rsid w:val="0090091A"/>
    <w:rsid w:val="009042BD"/>
    <w:rsid w:val="00904FE4"/>
    <w:rsid w:val="00906406"/>
    <w:rsid w:val="009068ED"/>
    <w:rsid w:val="009133F6"/>
    <w:rsid w:val="00927740"/>
    <w:rsid w:val="00931197"/>
    <w:rsid w:val="00936159"/>
    <w:rsid w:val="00962849"/>
    <w:rsid w:val="009756AA"/>
    <w:rsid w:val="009774B3"/>
    <w:rsid w:val="00977E1D"/>
    <w:rsid w:val="00982A75"/>
    <w:rsid w:val="00997EF7"/>
    <w:rsid w:val="009A419B"/>
    <w:rsid w:val="009B0573"/>
    <w:rsid w:val="009B4724"/>
    <w:rsid w:val="009B5CF8"/>
    <w:rsid w:val="009B5DE1"/>
    <w:rsid w:val="009B7B4B"/>
    <w:rsid w:val="009B7C21"/>
    <w:rsid w:val="009C2CDB"/>
    <w:rsid w:val="009C46D3"/>
    <w:rsid w:val="009C47CB"/>
    <w:rsid w:val="009E4E6E"/>
    <w:rsid w:val="00A04992"/>
    <w:rsid w:val="00A04A4A"/>
    <w:rsid w:val="00A147AA"/>
    <w:rsid w:val="00A21D71"/>
    <w:rsid w:val="00A22B78"/>
    <w:rsid w:val="00A246F7"/>
    <w:rsid w:val="00A24AFE"/>
    <w:rsid w:val="00A25AE5"/>
    <w:rsid w:val="00A26442"/>
    <w:rsid w:val="00A37002"/>
    <w:rsid w:val="00A4355E"/>
    <w:rsid w:val="00A520D9"/>
    <w:rsid w:val="00A56CC6"/>
    <w:rsid w:val="00A60355"/>
    <w:rsid w:val="00A64DA0"/>
    <w:rsid w:val="00A73B72"/>
    <w:rsid w:val="00A87DD7"/>
    <w:rsid w:val="00A92BCD"/>
    <w:rsid w:val="00AA1B0E"/>
    <w:rsid w:val="00AA47B6"/>
    <w:rsid w:val="00AC0DC5"/>
    <w:rsid w:val="00AC163B"/>
    <w:rsid w:val="00AC5CA7"/>
    <w:rsid w:val="00AC6058"/>
    <w:rsid w:val="00AD1366"/>
    <w:rsid w:val="00AD22D3"/>
    <w:rsid w:val="00AD59B4"/>
    <w:rsid w:val="00AE2219"/>
    <w:rsid w:val="00AE2BA5"/>
    <w:rsid w:val="00AE56B1"/>
    <w:rsid w:val="00AE6D09"/>
    <w:rsid w:val="00AF7A7C"/>
    <w:rsid w:val="00B02070"/>
    <w:rsid w:val="00B04F76"/>
    <w:rsid w:val="00B408B6"/>
    <w:rsid w:val="00B513DE"/>
    <w:rsid w:val="00B51C35"/>
    <w:rsid w:val="00B542DA"/>
    <w:rsid w:val="00B54AEC"/>
    <w:rsid w:val="00B72A0C"/>
    <w:rsid w:val="00B73862"/>
    <w:rsid w:val="00B73F43"/>
    <w:rsid w:val="00B75BBF"/>
    <w:rsid w:val="00B81CDC"/>
    <w:rsid w:val="00BA1E12"/>
    <w:rsid w:val="00BA308C"/>
    <w:rsid w:val="00BA6B66"/>
    <w:rsid w:val="00BA6E48"/>
    <w:rsid w:val="00BB3872"/>
    <w:rsid w:val="00BB4EC9"/>
    <w:rsid w:val="00BC255F"/>
    <w:rsid w:val="00BD3615"/>
    <w:rsid w:val="00BE0AF6"/>
    <w:rsid w:val="00BE1F03"/>
    <w:rsid w:val="00BE54A6"/>
    <w:rsid w:val="00BE58A7"/>
    <w:rsid w:val="00BF2218"/>
    <w:rsid w:val="00C0426B"/>
    <w:rsid w:val="00C045DF"/>
    <w:rsid w:val="00C203FD"/>
    <w:rsid w:val="00C26C76"/>
    <w:rsid w:val="00C26D43"/>
    <w:rsid w:val="00C35173"/>
    <w:rsid w:val="00C36DC4"/>
    <w:rsid w:val="00C46548"/>
    <w:rsid w:val="00C521FA"/>
    <w:rsid w:val="00C53263"/>
    <w:rsid w:val="00C574D5"/>
    <w:rsid w:val="00C73F32"/>
    <w:rsid w:val="00C87462"/>
    <w:rsid w:val="00CA180C"/>
    <w:rsid w:val="00CA3C58"/>
    <w:rsid w:val="00CB22B2"/>
    <w:rsid w:val="00CC1C50"/>
    <w:rsid w:val="00CC3EE2"/>
    <w:rsid w:val="00CD5084"/>
    <w:rsid w:val="00CD7492"/>
    <w:rsid w:val="00CE3A6B"/>
    <w:rsid w:val="00CF3DD4"/>
    <w:rsid w:val="00D00211"/>
    <w:rsid w:val="00D006D1"/>
    <w:rsid w:val="00D025AE"/>
    <w:rsid w:val="00D06309"/>
    <w:rsid w:val="00D3239E"/>
    <w:rsid w:val="00D351EA"/>
    <w:rsid w:val="00D40288"/>
    <w:rsid w:val="00D43403"/>
    <w:rsid w:val="00D50A6B"/>
    <w:rsid w:val="00D5270B"/>
    <w:rsid w:val="00D62E71"/>
    <w:rsid w:val="00D6430D"/>
    <w:rsid w:val="00D66188"/>
    <w:rsid w:val="00D711E3"/>
    <w:rsid w:val="00D724F1"/>
    <w:rsid w:val="00D731F6"/>
    <w:rsid w:val="00D740CA"/>
    <w:rsid w:val="00D85728"/>
    <w:rsid w:val="00D9052A"/>
    <w:rsid w:val="00D91B69"/>
    <w:rsid w:val="00D95481"/>
    <w:rsid w:val="00D96083"/>
    <w:rsid w:val="00DC7A13"/>
    <w:rsid w:val="00DE7064"/>
    <w:rsid w:val="00DF2997"/>
    <w:rsid w:val="00DF76C5"/>
    <w:rsid w:val="00E10BC4"/>
    <w:rsid w:val="00E1415D"/>
    <w:rsid w:val="00E213BD"/>
    <w:rsid w:val="00E323E9"/>
    <w:rsid w:val="00E32FB6"/>
    <w:rsid w:val="00E34018"/>
    <w:rsid w:val="00E42AE1"/>
    <w:rsid w:val="00E437D2"/>
    <w:rsid w:val="00E43BF9"/>
    <w:rsid w:val="00E449D7"/>
    <w:rsid w:val="00E47BC6"/>
    <w:rsid w:val="00E51930"/>
    <w:rsid w:val="00E55751"/>
    <w:rsid w:val="00E62948"/>
    <w:rsid w:val="00E7398E"/>
    <w:rsid w:val="00E82B94"/>
    <w:rsid w:val="00EA2311"/>
    <w:rsid w:val="00EA6133"/>
    <w:rsid w:val="00EB2606"/>
    <w:rsid w:val="00EC7BC3"/>
    <w:rsid w:val="00ED073B"/>
    <w:rsid w:val="00ED7600"/>
    <w:rsid w:val="00EE09A4"/>
    <w:rsid w:val="00EF6073"/>
    <w:rsid w:val="00EF698B"/>
    <w:rsid w:val="00F1362C"/>
    <w:rsid w:val="00F414F1"/>
    <w:rsid w:val="00F4446E"/>
    <w:rsid w:val="00F47EC0"/>
    <w:rsid w:val="00F508B8"/>
    <w:rsid w:val="00F72CB1"/>
    <w:rsid w:val="00F8215E"/>
    <w:rsid w:val="00F824F5"/>
    <w:rsid w:val="00F90FAB"/>
    <w:rsid w:val="00F915A1"/>
    <w:rsid w:val="00F9374D"/>
    <w:rsid w:val="00FA3179"/>
    <w:rsid w:val="00FC29B9"/>
    <w:rsid w:val="00FC6FD3"/>
    <w:rsid w:val="00FD7447"/>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A71F60D0-6940-4688-8651-0EED353A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ＭＳ 明朝"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17"/>
      </w:numPr>
      <w:ind w:left="426"/>
    </w:pPr>
    <w:rPr>
      <w:lang w:val="en-US" w:eastAsia="ja-JP"/>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36"/>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RBI5PAMIO524-1616901215-26420</_dlc_DocId>
    <HideFromDelve xmlns="71c5aaf6-e6ce-465b-b873-5148d2a4c105">false</HideFromDelve>
    <_dlc_DocIdUrl xmlns="71c5aaf6-e6ce-465b-b873-5148d2a4c105">
      <Url>https://nokia.sharepoint.com/sites/gxp/_layouts/15/DocIdRedir.aspx?ID=RBI5PAMIO524-1616901215-26420</Url>
      <Description>RBI5PAMIO524-1616901215-26420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168D7F48-15AF-404E-9E60-8D129D77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2</TotalTime>
  <Pages>1</Pages>
  <Words>1357</Words>
  <Characters>7739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9078</CharactersWithSpaces>
  <SharedDoc>false</SharedDoc>
  <HLinks>
    <vt:vector size="6" baseType="variant">
      <vt:variant>
        <vt:i4>1507386</vt:i4>
      </vt:variant>
      <vt:variant>
        <vt:i4>8</vt:i4>
      </vt:variant>
      <vt:variant>
        <vt:i4>0</vt:i4>
      </vt:variant>
      <vt:variant>
        <vt:i4>5</vt:i4>
      </vt:variant>
      <vt:variant>
        <vt:lpwstr/>
      </vt:variant>
      <vt:variant>
        <vt:lpwstr>_Toc173503817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Hisashi Onozawa (Nokia)</cp:lastModifiedBy>
  <cp:revision>5</cp:revision>
  <dcterms:created xsi:type="dcterms:W3CDTF">2024-08-09T15:21:00Z</dcterms:created>
  <dcterms:modified xsi:type="dcterms:W3CDTF">2024-08-09T15:48:00Z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138fe96e-0ac7-4248-bf0c-1902ab8a9a2d</vt:lpwstr>
  </property>
</Properties>
</file>